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eastAsia="zh-CN"/>
        </w:rPr>
      </w:pPr>
    </w:p>
    <w:p>
      <w:pPr>
        <w:jc w:val="center"/>
        <w:rPr>
          <w:rFonts w:hint="eastAsia"/>
          <w:b/>
          <w:bCs/>
          <w:sz w:val="36"/>
          <w:szCs w:val="36"/>
          <w:lang w:eastAsia="zh-CN"/>
        </w:rPr>
      </w:pPr>
    </w:p>
    <w:p>
      <w:pPr>
        <w:jc w:val="center"/>
        <w:rPr>
          <w:rFonts w:hint="eastAsia"/>
          <w:b/>
          <w:bCs/>
          <w:sz w:val="36"/>
          <w:szCs w:val="36"/>
          <w:lang w:eastAsia="zh-CN"/>
        </w:rPr>
      </w:pPr>
    </w:p>
    <w:p>
      <w:pPr>
        <w:jc w:val="center"/>
        <w:rPr>
          <w:rFonts w:hint="eastAsia"/>
          <w:b/>
          <w:bCs/>
          <w:sz w:val="36"/>
          <w:szCs w:val="36"/>
          <w:lang w:eastAsia="zh-CN"/>
        </w:rPr>
      </w:pPr>
      <w:r>
        <w:rPr>
          <w:rFonts w:hint="eastAsia"/>
          <w:b/>
          <w:bCs/>
          <w:sz w:val="36"/>
          <w:szCs w:val="36"/>
          <w:lang w:eastAsia="zh-CN"/>
        </w:rPr>
        <w:t>贵阳市水务环境集团有限公司</w:t>
      </w:r>
    </w:p>
    <w:p>
      <w:pPr>
        <w:jc w:val="center"/>
        <w:rPr>
          <w:rFonts w:hint="default" w:ascii="宋体" w:hAnsi="宋体" w:eastAsia="宋体" w:cs="宋体"/>
          <w:b/>
          <w:bCs/>
          <w:spacing w:val="20"/>
          <w:sz w:val="36"/>
          <w:szCs w:val="36"/>
          <w:highlight w:val="none"/>
          <w:lang w:val="en-US"/>
        </w:rPr>
      </w:pPr>
      <w:r>
        <w:rPr>
          <w:rFonts w:hint="eastAsia"/>
          <w:b/>
          <w:bCs/>
          <w:sz w:val="36"/>
          <w:szCs w:val="36"/>
          <w:lang w:val="en-US" w:eastAsia="zh-CN"/>
        </w:rPr>
        <w:t>办公大楼</w:t>
      </w:r>
      <w:r>
        <w:rPr>
          <w:rFonts w:hint="eastAsia"/>
          <w:b/>
          <w:bCs/>
          <w:sz w:val="36"/>
          <w:szCs w:val="36"/>
          <w:lang w:eastAsia="zh-CN"/>
        </w:rPr>
        <w:t>发光字及标识标牌</w:t>
      </w:r>
      <w:r>
        <w:rPr>
          <w:rFonts w:hint="eastAsia"/>
          <w:b/>
          <w:bCs/>
          <w:sz w:val="36"/>
          <w:szCs w:val="36"/>
          <w:lang w:val="en-US" w:eastAsia="zh-CN"/>
        </w:rPr>
        <w:t>制作安装采购项目</w:t>
      </w:r>
    </w:p>
    <w:p>
      <w:pPr>
        <w:pStyle w:val="6"/>
        <w:rPr>
          <w:highlight w:val="none"/>
        </w:rPr>
      </w:pPr>
    </w:p>
    <w:p>
      <w:pPr>
        <w:pStyle w:val="6"/>
        <w:rPr>
          <w:highlight w:val="none"/>
        </w:rPr>
      </w:pPr>
    </w:p>
    <w:p/>
    <w:p>
      <w:pPr>
        <w:pStyle w:val="6"/>
        <w:rPr>
          <w:highlight w:val="none"/>
        </w:rPr>
      </w:pPr>
    </w:p>
    <w:p>
      <w:pPr>
        <w:spacing w:before="120" w:beforeLines="50" w:after="120" w:afterLines="50" w:line="240" w:lineRule="auto"/>
        <w:ind w:firstLine="362" w:firstLineChars="41"/>
        <w:jc w:val="center"/>
        <w:rPr>
          <w:rFonts w:ascii="宋体" w:hAnsi="宋体" w:eastAsia="宋体" w:cs="宋体"/>
          <w:b/>
          <w:bCs/>
          <w:spacing w:val="20"/>
          <w:sz w:val="84"/>
          <w:szCs w:val="84"/>
          <w:highlight w:val="none"/>
        </w:rPr>
      </w:pPr>
      <w:r>
        <w:rPr>
          <w:rFonts w:hint="eastAsia" w:ascii="宋体" w:hAnsi="宋体" w:eastAsia="宋体" w:cs="宋体"/>
          <w:b/>
          <w:bCs/>
          <w:spacing w:val="20"/>
          <w:sz w:val="84"/>
          <w:szCs w:val="84"/>
          <w:highlight w:val="none"/>
          <w:lang w:val="en-US" w:eastAsia="zh-CN"/>
        </w:rPr>
        <w:t>比选</w:t>
      </w:r>
      <w:r>
        <w:rPr>
          <w:rFonts w:hint="eastAsia" w:ascii="宋体" w:hAnsi="宋体" w:eastAsia="宋体" w:cs="宋体"/>
          <w:b/>
          <w:bCs/>
          <w:spacing w:val="20"/>
          <w:sz w:val="84"/>
          <w:szCs w:val="84"/>
          <w:highlight w:val="none"/>
        </w:rPr>
        <w:t>文件</w:t>
      </w:r>
    </w:p>
    <w:p>
      <w:pPr>
        <w:spacing w:before="100" w:beforeAutospacing="1" w:after="100" w:afterAutospacing="1"/>
        <w:ind w:firstLine="0" w:firstLineChars="0"/>
        <w:jc w:val="center"/>
        <w:rPr>
          <w:rFonts w:ascii="宋体" w:hAnsi="宋体" w:eastAsia="宋体" w:cs="宋体"/>
          <w:b/>
          <w:sz w:val="36"/>
          <w:szCs w:val="36"/>
          <w:highlight w:val="none"/>
        </w:rPr>
      </w:pPr>
    </w:p>
    <w:p>
      <w:pPr>
        <w:spacing w:before="100" w:beforeAutospacing="1" w:after="100" w:afterAutospacing="1"/>
        <w:ind w:firstLine="0" w:firstLineChars="0"/>
        <w:jc w:val="center"/>
        <w:rPr>
          <w:rFonts w:ascii="宋体" w:hAnsi="宋体" w:eastAsia="宋体" w:cs="宋体"/>
          <w:b/>
          <w:sz w:val="36"/>
          <w:szCs w:val="36"/>
          <w:highlight w:val="none"/>
        </w:rPr>
      </w:pPr>
    </w:p>
    <w:p>
      <w:pPr>
        <w:spacing w:before="100" w:beforeAutospacing="1" w:after="100" w:afterAutospacing="1"/>
        <w:ind w:firstLine="0" w:firstLineChars="0"/>
        <w:jc w:val="center"/>
        <w:rPr>
          <w:rFonts w:ascii="宋体" w:hAnsi="宋体" w:eastAsia="宋体" w:cs="宋体"/>
          <w:b/>
          <w:sz w:val="36"/>
          <w:szCs w:val="36"/>
          <w:highlight w:val="none"/>
        </w:rPr>
      </w:pPr>
    </w:p>
    <w:p>
      <w:pPr>
        <w:spacing w:before="100" w:beforeAutospacing="1" w:after="100" w:afterAutospacing="1"/>
        <w:ind w:firstLine="0" w:firstLineChars="0"/>
        <w:jc w:val="center"/>
        <w:rPr>
          <w:rFonts w:ascii="宋体" w:hAnsi="宋体" w:eastAsia="宋体" w:cs="宋体"/>
          <w:b/>
          <w:sz w:val="36"/>
          <w:szCs w:val="36"/>
          <w:highlight w:val="none"/>
        </w:rPr>
      </w:pPr>
    </w:p>
    <w:p>
      <w:pPr>
        <w:spacing w:before="100" w:beforeAutospacing="1" w:after="100" w:afterAutospacing="1"/>
        <w:ind w:firstLine="0" w:firstLineChars="0"/>
        <w:jc w:val="center"/>
        <w:rPr>
          <w:rFonts w:ascii="宋体" w:hAnsi="宋体" w:eastAsia="宋体" w:cs="宋体"/>
          <w:b/>
          <w:sz w:val="36"/>
          <w:szCs w:val="36"/>
          <w:highlight w:val="none"/>
        </w:rPr>
      </w:pPr>
    </w:p>
    <w:p>
      <w:pPr>
        <w:spacing w:before="100" w:beforeAutospacing="1" w:after="100" w:afterAutospacing="1"/>
        <w:ind w:firstLine="0" w:firstLineChars="0"/>
        <w:jc w:val="center"/>
        <w:rPr>
          <w:rFonts w:ascii="宋体" w:hAnsi="宋体" w:eastAsia="宋体" w:cs="宋体"/>
          <w:b/>
          <w:sz w:val="36"/>
          <w:szCs w:val="36"/>
          <w:highlight w:val="none"/>
        </w:rPr>
      </w:pPr>
    </w:p>
    <w:p>
      <w:pPr>
        <w:spacing w:before="100" w:beforeAutospacing="1" w:after="100" w:afterAutospacing="1"/>
        <w:ind w:firstLine="0" w:firstLineChars="0"/>
        <w:jc w:val="center"/>
        <w:rPr>
          <w:rFonts w:ascii="宋体" w:hAnsi="宋体" w:eastAsia="宋体" w:cs="宋体"/>
          <w:b/>
          <w:sz w:val="36"/>
          <w:szCs w:val="36"/>
          <w:highlight w:val="none"/>
        </w:rPr>
      </w:pPr>
      <w:r>
        <w:rPr>
          <w:rFonts w:ascii="宋体" w:hAnsi="宋体" w:eastAsia="宋体" w:cs="宋体"/>
          <w:b/>
          <w:sz w:val="36"/>
          <w:szCs w:val="36"/>
          <w:highlight w:val="none"/>
        </w:rPr>
        <w:t>202</w:t>
      </w:r>
      <w:r>
        <w:rPr>
          <w:rFonts w:hint="eastAsia" w:ascii="宋体" w:hAnsi="宋体" w:eastAsia="宋体" w:cs="宋体"/>
          <w:b/>
          <w:sz w:val="36"/>
          <w:szCs w:val="36"/>
          <w:highlight w:val="none"/>
          <w:lang w:val="en-US" w:eastAsia="zh-CN"/>
        </w:rPr>
        <w:t>4</w:t>
      </w:r>
      <w:r>
        <w:rPr>
          <w:rFonts w:hint="eastAsia" w:ascii="宋体" w:hAnsi="宋体" w:eastAsia="宋体" w:cs="宋体"/>
          <w:b/>
          <w:sz w:val="36"/>
          <w:szCs w:val="36"/>
          <w:highlight w:val="none"/>
        </w:rPr>
        <w:t>年</w:t>
      </w:r>
      <w:r>
        <w:rPr>
          <w:rFonts w:hint="eastAsia" w:ascii="宋体" w:hAnsi="宋体" w:eastAsia="宋体" w:cs="宋体"/>
          <w:b/>
          <w:sz w:val="36"/>
          <w:szCs w:val="36"/>
          <w:highlight w:val="none"/>
          <w:lang w:val="en-US" w:eastAsia="zh-CN"/>
        </w:rPr>
        <w:t>04</w:t>
      </w:r>
      <w:r>
        <w:rPr>
          <w:rFonts w:hint="eastAsia" w:ascii="宋体" w:hAnsi="宋体" w:eastAsia="宋体" w:cs="宋体"/>
          <w:b/>
          <w:sz w:val="36"/>
          <w:szCs w:val="36"/>
          <w:highlight w:val="none"/>
        </w:rPr>
        <w:t>月</w:t>
      </w:r>
    </w:p>
    <w:p>
      <w:pPr>
        <w:widowControl/>
        <w:jc w:val="left"/>
        <w:rPr>
          <w:rFonts w:hint="eastAsia" w:ascii="宋体" w:hAnsi="宋体" w:eastAsia="宋体" w:cs="宋体"/>
          <w:b/>
          <w:spacing w:val="20"/>
          <w:sz w:val="24"/>
          <w:highlight w:val="none"/>
        </w:rPr>
      </w:pPr>
      <w:r>
        <w:rPr>
          <w:rFonts w:hint="eastAsia" w:ascii="宋体" w:hAnsi="宋体" w:eastAsia="宋体" w:cs="宋体"/>
          <w:b/>
          <w:spacing w:val="20"/>
          <w:sz w:val="24"/>
          <w:highlight w:val="none"/>
        </w:rPr>
        <w:br w:type="page"/>
      </w: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480" w:lineRule="auto"/>
        <w:jc w:val="center"/>
        <w:rPr>
          <w:rFonts w:hint="eastAsia" w:ascii="宋体" w:hAnsi="宋体" w:cs="宋体"/>
          <w:sz w:val="32"/>
          <w:szCs w:val="32"/>
          <w:highlight w:val="none"/>
        </w:rPr>
      </w:pPr>
      <w:r>
        <w:rPr>
          <w:rFonts w:hint="eastAsia" w:ascii="宋体" w:hAnsi="宋体" w:cs="宋体"/>
          <w:b/>
          <w:bCs/>
          <w:sz w:val="32"/>
          <w:szCs w:val="32"/>
          <w:highlight w:val="none"/>
        </w:rPr>
        <w:t>目  录</w:t>
      </w:r>
    </w:p>
    <w:p>
      <w:pPr>
        <w:spacing w:line="400" w:lineRule="exact"/>
        <w:ind w:firstLine="420"/>
        <w:rPr>
          <w:rFonts w:hint="eastAsia" w:ascii="宋体" w:hAnsi="宋体" w:cs="宋体"/>
          <w:sz w:val="24"/>
          <w:highlight w:val="none"/>
        </w:rPr>
      </w:pPr>
      <w:r>
        <w:rPr>
          <w:rFonts w:hint="eastAsia" w:ascii="宋体" w:hAnsi="宋体" w:cs="宋体"/>
          <w:sz w:val="24"/>
          <w:highlight w:val="none"/>
        </w:rPr>
        <w:t xml:space="preserve">                           </w:t>
      </w:r>
    </w:p>
    <w:p>
      <w:pPr>
        <w:spacing w:line="240" w:lineRule="auto"/>
        <w:jc w:val="center"/>
        <w:rPr>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TOC \o "1-1" \h \u </w:instrText>
      </w:r>
      <w:r>
        <w:rPr>
          <w:rFonts w:hint="eastAsia" w:ascii="宋体" w:hAnsi="宋体" w:cs="宋体"/>
          <w:sz w:val="24"/>
          <w:highlight w:val="none"/>
        </w:rPr>
        <w:fldChar w:fldCharType="separate"/>
      </w:r>
    </w:p>
    <w:p>
      <w:pPr>
        <w:pStyle w:val="21"/>
        <w:tabs>
          <w:tab w:val="right" w:leader="hyphen" w:pos="8732"/>
        </w:tabs>
        <w:snapToGrid w:val="0"/>
        <w:spacing w:line="480" w:lineRule="auto"/>
        <w:rPr>
          <w:rFonts w:hint="eastAsia" w:ascii="宋体" w:hAnsi="宋体" w:cs="宋体"/>
          <w:sz w:val="28"/>
          <w:szCs w:val="28"/>
          <w:highlight w:val="none"/>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HYPERLINK \l _Toc18012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 xml:space="preserve">第一章  </w:t>
      </w:r>
      <w:r>
        <w:rPr>
          <w:rFonts w:hint="eastAsia" w:ascii="宋体" w:hAnsi="宋体" w:cs="宋体"/>
          <w:sz w:val="28"/>
          <w:szCs w:val="28"/>
          <w:highlight w:val="none"/>
          <w:lang w:val="en-US" w:eastAsia="zh-CN"/>
        </w:rPr>
        <w:t>比选范围</w:t>
      </w:r>
      <w:r>
        <w:rPr>
          <w:rFonts w:hint="eastAsia" w:ascii="宋体" w:hAnsi="宋体" w:cs="宋体"/>
          <w:sz w:val="28"/>
          <w:szCs w:val="28"/>
          <w:highlight w:val="none"/>
        </w:rPr>
        <w:tab/>
      </w:r>
      <w:r>
        <w:rPr>
          <w:rFonts w:hint="eastAsia" w:ascii="宋体" w:hAnsi="宋体" w:cs="宋体"/>
          <w:sz w:val="28"/>
          <w:szCs w:val="28"/>
          <w:highlight w:val="none"/>
          <w:lang w:val="en-US" w:eastAsia="zh-CN"/>
        </w:rPr>
        <w:t>3</w:t>
      </w:r>
      <w:r>
        <w:rPr>
          <w:rFonts w:hint="eastAsia" w:ascii="宋体" w:hAnsi="宋体" w:cs="宋体"/>
          <w:sz w:val="28"/>
          <w:szCs w:val="28"/>
          <w:highlight w:val="none"/>
        </w:rPr>
        <w:fldChar w:fldCharType="end"/>
      </w:r>
    </w:p>
    <w:p>
      <w:pPr>
        <w:pStyle w:val="21"/>
        <w:tabs>
          <w:tab w:val="right" w:leader="hyphen" w:pos="8732"/>
        </w:tabs>
        <w:snapToGrid w:val="0"/>
        <w:spacing w:line="480" w:lineRule="auto"/>
        <w:rPr>
          <w:rFonts w:hint="eastAsia" w:ascii="宋体" w:hAnsi="宋体" w:eastAsia="宋体" w:cs="宋体"/>
          <w:sz w:val="28"/>
          <w:szCs w:val="28"/>
          <w:highlight w:val="none"/>
          <w:lang w:eastAsia="zh-CN"/>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HYPERLINK \l _Toc5508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第</w:t>
      </w:r>
      <w:r>
        <w:rPr>
          <w:rFonts w:hint="eastAsia" w:ascii="宋体" w:hAnsi="宋体" w:cs="宋体"/>
          <w:sz w:val="28"/>
          <w:szCs w:val="28"/>
          <w:highlight w:val="none"/>
          <w:lang w:val="en-US" w:eastAsia="zh-CN"/>
        </w:rPr>
        <w:t>二</w:t>
      </w:r>
      <w:r>
        <w:rPr>
          <w:rFonts w:hint="eastAsia" w:ascii="宋体" w:hAnsi="宋体" w:cs="宋体"/>
          <w:sz w:val="28"/>
          <w:szCs w:val="28"/>
          <w:highlight w:val="none"/>
        </w:rPr>
        <w:t xml:space="preserve">章  </w:t>
      </w:r>
      <w:r>
        <w:rPr>
          <w:rFonts w:hint="eastAsia" w:ascii="宋体" w:hAnsi="宋体" w:cs="宋体"/>
          <w:sz w:val="28"/>
          <w:szCs w:val="28"/>
          <w:highlight w:val="none"/>
          <w:lang w:val="en-US" w:eastAsia="zh-CN"/>
        </w:rPr>
        <w:t>商务条款</w:t>
      </w:r>
      <w:r>
        <w:rPr>
          <w:rFonts w:hint="eastAsia" w:ascii="宋体" w:hAnsi="宋体" w:cs="宋体"/>
          <w:sz w:val="28"/>
          <w:szCs w:val="28"/>
          <w:highlight w:val="none"/>
        </w:rPr>
        <w:tab/>
      </w:r>
      <w:r>
        <w:rPr>
          <w:rFonts w:hint="eastAsia" w:ascii="宋体" w:hAnsi="宋体" w:cs="宋体"/>
          <w:sz w:val="28"/>
          <w:szCs w:val="28"/>
          <w:highlight w:val="none"/>
        </w:rPr>
        <w:fldChar w:fldCharType="end"/>
      </w:r>
      <w:r>
        <w:rPr>
          <w:rFonts w:hint="eastAsia" w:ascii="宋体" w:hAnsi="宋体" w:cs="宋体"/>
          <w:sz w:val="28"/>
          <w:szCs w:val="28"/>
          <w:highlight w:val="none"/>
          <w:lang w:val="en-US" w:eastAsia="zh-CN"/>
        </w:rPr>
        <w:t>8</w:t>
      </w:r>
    </w:p>
    <w:p>
      <w:pPr>
        <w:pStyle w:val="21"/>
        <w:tabs>
          <w:tab w:val="right" w:leader="hyphen" w:pos="8732"/>
        </w:tabs>
        <w:snapToGrid w:val="0"/>
        <w:spacing w:line="480" w:lineRule="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_Toc5206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w:t>
      </w:r>
      <w:r>
        <w:rPr>
          <w:rFonts w:hint="eastAsia" w:ascii="宋体" w:hAnsi="宋体" w:eastAsia="宋体" w:cs="宋体"/>
          <w:sz w:val="28"/>
          <w:szCs w:val="28"/>
          <w:highlight w:val="none"/>
          <w:lang w:val="en-US" w:eastAsia="zh-CN"/>
        </w:rPr>
        <w:t>三</w:t>
      </w:r>
      <w:r>
        <w:rPr>
          <w:rFonts w:hint="eastAsia" w:ascii="宋体" w:hAnsi="宋体" w:eastAsia="宋体" w:cs="宋体"/>
          <w:sz w:val="28"/>
          <w:szCs w:val="28"/>
          <w:highlight w:val="none"/>
        </w:rPr>
        <w:t>章  评审办法及评分标准</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end"/>
      </w:r>
      <w:r>
        <w:rPr>
          <w:rFonts w:hint="eastAsia" w:ascii="宋体" w:hAnsi="宋体" w:cs="宋体"/>
          <w:sz w:val="28"/>
          <w:szCs w:val="28"/>
          <w:highlight w:val="none"/>
          <w:lang w:val="en-US" w:eastAsia="zh-CN"/>
        </w:rPr>
        <w:t>11</w:t>
      </w:r>
    </w:p>
    <w:p>
      <w:pPr>
        <w:pStyle w:val="21"/>
        <w:tabs>
          <w:tab w:val="right" w:leader="hyphen" w:pos="8732"/>
        </w:tabs>
        <w:snapToGrid w:val="0"/>
        <w:spacing w:line="480" w:lineRule="auto"/>
        <w:rPr>
          <w:rFonts w:hint="default" w:ascii="宋体" w:hAnsi="宋体" w:cs="宋体"/>
          <w:sz w:val="28"/>
          <w:szCs w:val="28"/>
          <w:highlight w:val="none"/>
          <w:lang w:val="en-US" w:eastAsia="zh-CN"/>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_Toc5206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w:t>
      </w:r>
      <w:r>
        <w:rPr>
          <w:rFonts w:hint="eastAsia" w:ascii="宋体" w:hAnsi="宋体" w:eastAsia="宋体" w:cs="宋体"/>
          <w:sz w:val="28"/>
          <w:szCs w:val="28"/>
          <w:highlight w:val="none"/>
          <w:lang w:val="en-US" w:eastAsia="zh-CN"/>
        </w:rPr>
        <w:t>四</w:t>
      </w:r>
      <w:r>
        <w:rPr>
          <w:rFonts w:hint="eastAsia" w:ascii="宋体" w:hAnsi="宋体" w:eastAsia="宋体" w:cs="宋体"/>
          <w:sz w:val="28"/>
          <w:szCs w:val="28"/>
          <w:highlight w:val="none"/>
        </w:rPr>
        <w:t xml:space="preserve">章  </w:t>
      </w:r>
      <w:r>
        <w:rPr>
          <w:rFonts w:hint="eastAsia" w:ascii="宋体" w:hAnsi="宋体" w:eastAsia="宋体" w:cs="宋体"/>
          <w:sz w:val="28"/>
          <w:szCs w:val="28"/>
          <w:highlight w:val="none"/>
          <w:lang w:val="en-US" w:eastAsia="zh-CN"/>
        </w:rPr>
        <w:t>比选公告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lang w:val="en-US" w:eastAsia="zh-CN"/>
        </w:rPr>
        <w:t>1</w:t>
      </w:r>
      <w:r>
        <w:rPr>
          <w:rFonts w:hint="eastAsia" w:ascii="宋体" w:hAnsi="宋体" w:cs="宋体"/>
          <w:sz w:val="28"/>
          <w:szCs w:val="28"/>
          <w:highlight w:val="none"/>
          <w:lang w:val="en-US" w:eastAsia="zh-CN"/>
        </w:rPr>
        <w:t>5</w:t>
      </w:r>
    </w:p>
    <w:p>
      <w:pPr>
        <w:pStyle w:val="21"/>
        <w:tabs>
          <w:tab w:val="right" w:leader="hyphen" w:pos="8732"/>
        </w:tabs>
        <w:snapToGrid w:val="0"/>
        <w:spacing w:line="480" w:lineRule="auto"/>
        <w:rPr>
          <w:rFonts w:hint="default" w:ascii="宋体" w:hAnsi="宋体" w:cs="宋体"/>
          <w:sz w:val="28"/>
          <w:szCs w:val="28"/>
          <w:highlight w:val="none"/>
          <w:lang w:val="en-US" w:eastAsia="zh-CN"/>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_Toc5206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w:t>
      </w:r>
      <w:r>
        <w:rPr>
          <w:rFonts w:hint="eastAsia" w:ascii="宋体" w:hAnsi="宋体" w:cs="宋体"/>
          <w:sz w:val="28"/>
          <w:szCs w:val="28"/>
          <w:highlight w:val="none"/>
          <w:lang w:val="en-US" w:eastAsia="zh-CN"/>
        </w:rPr>
        <w:t>五</w:t>
      </w:r>
      <w:r>
        <w:rPr>
          <w:rFonts w:hint="eastAsia" w:ascii="宋体" w:hAnsi="宋体" w:eastAsia="宋体" w:cs="宋体"/>
          <w:sz w:val="28"/>
          <w:szCs w:val="28"/>
          <w:highlight w:val="none"/>
        </w:rPr>
        <w:t xml:space="preserve">章  </w:t>
      </w:r>
      <w:r>
        <w:rPr>
          <w:rFonts w:hint="eastAsia" w:ascii="宋体" w:hAnsi="宋体" w:eastAsia="宋体" w:cs="宋体"/>
          <w:sz w:val="28"/>
          <w:szCs w:val="28"/>
          <w:highlight w:val="none"/>
          <w:lang w:val="en-US" w:eastAsia="zh-CN"/>
        </w:rPr>
        <w:t>响应文件格式模板</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end"/>
      </w:r>
      <w:r>
        <w:rPr>
          <w:rFonts w:hint="eastAsia" w:ascii="宋体" w:hAnsi="宋体" w:cs="宋体"/>
          <w:sz w:val="28"/>
          <w:szCs w:val="28"/>
          <w:highlight w:val="none"/>
          <w:lang w:val="en-US" w:eastAsia="zh-CN"/>
        </w:rPr>
        <w:t>19</w:t>
      </w: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r>
        <w:rPr>
          <w:rFonts w:hint="eastAsia" w:ascii="宋体" w:hAnsi="宋体" w:cs="宋体"/>
          <w:highlight w:val="none"/>
        </w:rPr>
        <w:fldChar w:fldCharType="end"/>
      </w: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bookmarkStart w:id="54" w:name="_GoBack"/>
      <w:bookmarkEnd w:id="54"/>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center"/>
        <w:outlineLvl w:val="9"/>
        <w:rPr>
          <w:rFonts w:hint="eastAsia" w:ascii="方正小标宋简体" w:hAnsi="方正小标宋简体" w:eastAsia="方正小标宋简体" w:cs="方正小标宋简体"/>
          <w:b w:val="0"/>
          <w:bCs w:val="0"/>
          <w:color w:val="333333"/>
          <w:sz w:val="44"/>
          <w:szCs w:val="44"/>
          <w:highlight w:val="none"/>
          <w:shd w:val="clear" w:color="auto" w:fill="FFFFFF"/>
        </w:rPr>
      </w:pPr>
    </w:p>
    <w:p>
      <w:pPr>
        <w:spacing w:line="560" w:lineRule="exact"/>
        <w:jc w:val="both"/>
        <w:outlineLvl w:val="9"/>
        <w:rPr>
          <w:rFonts w:hint="eastAsia" w:ascii="黑体" w:hAnsi="黑体" w:eastAsia="黑体" w:cs="黑体"/>
          <w:b w:val="0"/>
          <w:bCs w:val="0"/>
          <w:color w:val="333333"/>
          <w:sz w:val="44"/>
          <w:szCs w:val="44"/>
          <w:highlight w:val="none"/>
          <w:shd w:val="clear" w:color="auto" w:fill="FFFFFF"/>
          <w:lang w:val="en-US" w:eastAsia="zh-CN"/>
        </w:rPr>
      </w:pPr>
    </w:p>
    <w:p>
      <w:pPr>
        <w:pStyle w:val="2"/>
        <w:pageBreakBefore w:val="0"/>
        <w:widowControl w:val="0"/>
        <w:kinsoku/>
        <w:wordWrap/>
        <w:overflowPunct/>
        <w:topLinePunct w:val="0"/>
        <w:autoSpaceDE/>
        <w:autoSpaceDN/>
        <w:bidi w:val="0"/>
        <w:adjustRightInd/>
        <w:snapToGrid/>
        <w:spacing w:line="540" w:lineRule="exact"/>
        <w:textAlignment w:val="auto"/>
        <w:rPr>
          <w:rFonts w:hint="eastAsia" w:ascii="方正小标宋简体" w:hAnsi="方正小标宋简体" w:eastAsia="方正小标宋简体" w:cs="方正小标宋简体"/>
          <w:b w:val="0"/>
          <w:bCs/>
          <w:color w:val="000000"/>
          <w:sz w:val="32"/>
          <w:szCs w:val="32"/>
          <w:highlight w:val="none"/>
        </w:rPr>
      </w:pPr>
      <w:bookmarkStart w:id="0" w:name="_Toc9032805"/>
      <w:bookmarkStart w:id="1" w:name="_Toc406671083"/>
      <w:bookmarkStart w:id="2" w:name="_Toc523327777"/>
      <w:bookmarkStart w:id="3" w:name="_Toc406672381"/>
      <w:bookmarkStart w:id="4" w:name="_Toc406670711"/>
      <w:bookmarkStart w:id="5" w:name="_Toc523328529"/>
      <w:bookmarkStart w:id="6" w:name="_Toc13648896"/>
      <w:bookmarkStart w:id="7" w:name="_Toc523328213"/>
      <w:bookmarkStart w:id="8" w:name="_Toc424213009"/>
      <w:bookmarkStart w:id="9" w:name="_Toc406671675"/>
      <w:bookmarkStart w:id="10" w:name="_Toc523327939"/>
      <w:r>
        <w:rPr>
          <w:rFonts w:hint="eastAsia" w:ascii="方正小标宋简体" w:hAnsi="方正小标宋简体" w:eastAsia="方正小标宋简体" w:cs="方正小标宋简体"/>
          <w:b w:val="0"/>
          <w:bCs/>
          <w:color w:val="000000"/>
          <w:sz w:val="32"/>
          <w:szCs w:val="32"/>
          <w:highlight w:val="none"/>
        </w:rPr>
        <w:t>第一章　比选范围</w:t>
      </w:r>
      <w:bookmarkEnd w:id="0"/>
      <w:bookmarkEnd w:id="1"/>
      <w:bookmarkEnd w:id="2"/>
      <w:bookmarkEnd w:id="3"/>
      <w:bookmarkEnd w:id="4"/>
      <w:bookmarkEnd w:id="5"/>
      <w:bookmarkEnd w:id="6"/>
      <w:bookmarkEnd w:id="7"/>
      <w:bookmarkEnd w:id="8"/>
      <w:bookmarkEnd w:id="9"/>
      <w:bookmarkEnd w:id="10"/>
    </w:p>
    <w:p>
      <w:pPr>
        <w:pageBreakBefore w:val="0"/>
        <w:widowControl w:val="0"/>
        <w:kinsoku/>
        <w:wordWrap/>
        <w:overflowPunct/>
        <w:topLinePunct w:val="0"/>
        <w:autoSpaceDE/>
        <w:autoSpaceDN/>
        <w:bidi w:val="0"/>
        <w:spacing w:line="540" w:lineRule="exact"/>
        <w:jc w:val="center"/>
        <w:textAlignment w:val="auto"/>
        <w:outlineLvl w:val="9"/>
        <w:rPr>
          <w:rFonts w:hint="eastAsia" w:ascii="黑体" w:hAnsi="黑体" w:eastAsia="黑体" w:cs="黑体"/>
          <w:b w:val="0"/>
          <w:bCs/>
          <w:color w:val="000000"/>
          <w:sz w:val="32"/>
          <w:szCs w:val="32"/>
          <w:highlight w:val="none"/>
        </w:rPr>
      </w:pPr>
      <w:bookmarkStart w:id="11" w:name="_Toc13648897"/>
      <w:bookmarkStart w:id="12" w:name="_Toc523327940"/>
      <w:bookmarkStart w:id="13" w:name="_Toc406672382"/>
      <w:bookmarkStart w:id="14" w:name="_Toc424213010"/>
      <w:bookmarkStart w:id="15" w:name="_Toc406671084"/>
      <w:bookmarkStart w:id="16" w:name="_Toc406671676"/>
      <w:bookmarkStart w:id="17" w:name="_Toc406670712"/>
      <w:bookmarkStart w:id="18" w:name="_Toc523327778"/>
      <w:bookmarkStart w:id="19" w:name="_Toc523328530"/>
      <w:bookmarkStart w:id="20" w:name="_Toc9032806"/>
      <w:bookmarkStart w:id="21" w:name="_Toc523328214"/>
    </w:p>
    <w:p>
      <w:pPr>
        <w:pageBreakBefore w:val="0"/>
        <w:widowControl w:val="0"/>
        <w:kinsoku/>
        <w:wordWrap/>
        <w:overflowPunct/>
        <w:topLinePunct w:val="0"/>
        <w:autoSpaceDE/>
        <w:autoSpaceDN/>
        <w:bidi w:val="0"/>
        <w:spacing w:line="540" w:lineRule="exact"/>
        <w:jc w:val="center"/>
        <w:textAlignment w:val="auto"/>
        <w:outlineLvl w:val="9"/>
        <w:rPr>
          <w:rFonts w:hint="eastAsia" w:ascii="宋体" w:hAnsi="宋体" w:eastAsia="宋体" w:cs="宋体"/>
          <w:b/>
          <w:kern w:val="0"/>
          <w:sz w:val="32"/>
          <w:szCs w:val="32"/>
          <w:highlight w:val="none"/>
          <w:lang w:val="en-US" w:eastAsia="zh-CN"/>
        </w:rPr>
      </w:pPr>
      <w:r>
        <w:rPr>
          <w:rFonts w:hint="eastAsia" w:ascii="黑体" w:hAnsi="黑体" w:eastAsia="黑体" w:cs="黑体"/>
          <w:b w:val="0"/>
          <w:bCs/>
          <w:color w:val="000000"/>
          <w:sz w:val="32"/>
          <w:szCs w:val="32"/>
          <w:highlight w:val="none"/>
        </w:rPr>
        <w:t>第一节  比选项目概述</w:t>
      </w:r>
      <w:bookmarkEnd w:id="11"/>
      <w:bookmarkEnd w:id="12"/>
      <w:bookmarkEnd w:id="13"/>
      <w:bookmarkEnd w:id="14"/>
      <w:bookmarkEnd w:id="15"/>
      <w:bookmarkEnd w:id="16"/>
      <w:bookmarkEnd w:id="17"/>
      <w:bookmarkEnd w:id="18"/>
      <w:bookmarkEnd w:id="19"/>
      <w:bookmarkEnd w:id="20"/>
      <w:bookmarkEnd w:id="21"/>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eastAsia" w:ascii="黑体" w:hAnsi="黑体" w:eastAsia="黑体" w:cs="黑体"/>
          <w:b w:val="0"/>
          <w:bCs/>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 xml:space="preserve">一、采购项目名称 </w:t>
      </w:r>
    </w:p>
    <w:p>
      <w:pPr>
        <w:pStyle w:val="13"/>
        <w:numPr>
          <w:ilvl w:val="0"/>
          <w:numId w:val="0"/>
        </w:numPr>
        <w:shd w:val="clear" w:color="auto" w:fill="FFFFFF"/>
        <w:spacing w:before="0" w:beforeAutospacing="0" w:after="0" w:afterAutospacing="0" w:line="460" w:lineRule="exact"/>
        <w:ind w:right="0" w:rightChars="0" w:firstLine="640" w:firstLineChars="200"/>
        <w:rPr>
          <w:rFonts w:hint="eastAsia" w:ascii="仿宋" w:hAnsi="仿宋" w:eastAsia="仿宋" w:cs="仿宋"/>
          <w:b w:val="0"/>
          <w:bCs/>
          <w:kern w:val="0"/>
          <w:sz w:val="32"/>
          <w:szCs w:val="32"/>
          <w:highlight w:val="none"/>
          <w:lang w:val="en-US" w:eastAsia="zh-CN" w:bidi="ar-SA"/>
        </w:rPr>
      </w:pPr>
      <w:r>
        <w:rPr>
          <w:rFonts w:hint="eastAsia" w:ascii="仿宋" w:hAnsi="仿宋" w:eastAsia="仿宋" w:cs="仿宋"/>
          <w:b w:val="0"/>
          <w:bCs/>
          <w:kern w:val="0"/>
          <w:sz w:val="32"/>
          <w:szCs w:val="32"/>
          <w:highlight w:val="none"/>
          <w:lang w:val="en-US" w:eastAsia="zh-CN" w:bidi="ar-SA"/>
        </w:rPr>
        <w:t>贵阳市水务环境集团有限公司办公大楼发光字及标识标牌制作安装采购项目</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二、比选文件解释权</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本项目比选文件的最终解释权归采购人。</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三、采 购 人</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1.采购人名称：贵阳市水务环境集团有限公司</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2.地址：贵阳市高新区金阳科技产业园兴义路一号</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default"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3.联系人：许工</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default"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4.联系电话：13765071012</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jc w:val="center"/>
        <w:textAlignment w:val="auto"/>
        <w:rPr>
          <w:rFonts w:hint="eastAsia" w:ascii="黑体" w:hAnsi="黑体" w:eastAsia="黑体" w:cs="黑体"/>
          <w:b w:val="0"/>
          <w:bCs/>
          <w:kern w:val="0"/>
          <w:sz w:val="32"/>
          <w:szCs w:val="32"/>
          <w:highlight w:val="none"/>
          <w:lang w:val="en-US" w:eastAsia="zh-CN"/>
        </w:rPr>
      </w:pP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jc w:val="center"/>
        <w:textAlignment w:val="auto"/>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第二节  项目要求</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一、服务要求</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1.采购范围：完成采购人采购服务中涉及的相关具体工作，包括但不限于：贵阳市水务环境集团有限公司办公大楼屋顶发光字及一、二号大门处公司名称标识标牌的制作及安装；还包含办公大楼原屋顶发光字及一、二号大门处原公司名称标识标牌的拆除和更换等。</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2.项目预算：本项目预算价格为26.16万元以内，采用总价包干方式进行结算。</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3.项目实施工期：20日历天内交货安装完成并通过验收。</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4.质量标准：符合国家现行有关质量标准及本项目要求。</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5.服务供应商必须严格按照法律、法规和相关主管部门规章制度等开展工作。</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6.中选人指派的工作人员应具有相关专业资格水平及工作经验。</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黑体" w:hAnsi="黑体" w:eastAsia="黑体" w:cs="黑体"/>
          <w:b w:val="0"/>
          <w:bCs/>
          <w:kern w:val="0"/>
          <w:sz w:val="32"/>
          <w:szCs w:val="32"/>
          <w:highlight w:val="none"/>
          <w:lang w:val="en-US" w:eastAsia="zh-CN"/>
        </w:rPr>
      </w:pP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二、报价要求</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default"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 xml:space="preserve">1.投标人报价应包含但不限于：材料费（含：主材及辅材）、安装费、调试费、安全费用、采保费等费用，价格报价为含税全费用价格。 </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default"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2、报价表</w:t>
      </w:r>
    </w:p>
    <w:tbl>
      <w:tblPr>
        <w:tblStyle w:val="16"/>
        <w:tblpPr w:leftFromText="180" w:rightFromText="180" w:vertAnchor="text" w:horzAnchor="page" w:tblpX="1396" w:tblpY="612"/>
        <w:tblOverlap w:val="never"/>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642"/>
        <w:gridCol w:w="823"/>
        <w:gridCol w:w="823"/>
        <w:gridCol w:w="823"/>
        <w:gridCol w:w="823"/>
        <w:gridCol w:w="2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38"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序号</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分项工程名称</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tabs>
                <w:tab w:val="left" w:pos="420"/>
                <w:tab w:val="left" w:pos="700"/>
              </w:tabs>
              <w:ind w:left="-120" w:leftChars="-57" w:right="-71" w:rightChars="-34" w:firstLine="0" w:firstLineChars="0"/>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工程量</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单位</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单价</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金额</w:t>
            </w: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一</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顶楼发光字部分制作</w:t>
            </w:r>
          </w:p>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及安装</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2</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套</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规格：长27米x高6.5米，</w:t>
            </w:r>
          </w:p>
          <w:p>
            <w:pPr>
              <w:rPr>
                <w:rFonts w:hint="eastAsia" w:ascii="仿宋" w:hAnsi="仿宋" w:eastAsia="仿宋" w:cs="仿宋"/>
                <w:lang w:val="en-US" w:eastAsia="zh-CN"/>
              </w:rPr>
            </w:pPr>
            <w:r>
              <w:rPr>
                <w:rFonts w:hint="eastAsia" w:ascii="仿宋" w:hAnsi="仿宋" w:eastAsia="仿宋" w:cs="仿宋"/>
                <w:lang w:val="en-US" w:eastAsia="zh-CN"/>
              </w:rPr>
              <w:t>制作要求：</w:t>
            </w:r>
          </w:p>
          <w:p>
            <w:pPr>
              <w:rPr>
                <w:rFonts w:hint="eastAsia" w:ascii="仿宋" w:hAnsi="仿宋" w:eastAsia="仿宋" w:cs="仿宋"/>
                <w:lang w:val="en-US" w:eastAsia="zh-CN"/>
              </w:rPr>
            </w:pPr>
            <w:r>
              <w:rPr>
                <w:rFonts w:hint="eastAsia" w:ascii="仿宋" w:hAnsi="仿宋" w:eastAsia="仿宋" w:cs="仿宋"/>
                <w:lang w:val="en-US" w:eastAsia="zh-CN"/>
              </w:rPr>
              <w:t>1.文字面板采用3.0mm铝板激光冲孔，侧边采用3.0mm铝板折边焊接，整体刮灰打磨，烤氟碳漆三遍;</w:t>
            </w:r>
          </w:p>
          <w:p>
            <w:pPr>
              <w:rPr>
                <w:rFonts w:hint="eastAsia" w:ascii="仿宋" w:hAnsi="仿宋" w:eastAsia="仿宋" w:cs="仿宋"/>
                <w:lang w:val="en-US" w:eastAsia="zh-CN"/>
              </w:rPr>
            </w:pPr>
            <w:r>
              <w:rPr>
                <w:rFonts w:hint="eastAsia" w:ascii="仿宋" w:hAnsi="仿宋" w:eastAsia="仿宋" w:cs="仿宋"/>
                <w:lang w:val="en-US" w:eastAsia="zh-CN"/>
              </w:rPr>
              <w:t>2采用直径9MML E D户外防水灯珠，灯珠间距在3.5CM，每颗灯珠为0.2瓦，每平米灯珠约为300颗，约60 瓦;</w:t>
            </w:r>
          </w:p>
          <w:p>
            <w:pP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3.logo采用2.0nm镀锌板封背板，整体做防水防锈处理。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二</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0"/>
                <w:sz w:val="21"/>
                <w:szCs w:val="21"/>
                <w:u w:val="none"/>
                <w:lang w:val="en-US" w:eastAsia="zh-CN" w:bidi="ar"/>
              </w:rPr>
              <w:t>镀锌板烤漆字制作及安装</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一号大门出入口处公司名称标牌制作及安装</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0"/>
                <w:sz w:val="21"/>
                <w:szCs w:val="21"/>
                <w:u w:val="none"/>
                <w:lang w:val="en-US" w:eastAsia="zh-CN" w:bidi="ar"/>
              </w:rPr>
              <w:t>套</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2</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二号大门出入口处公司名称标牌制作及安装</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0"/>
                <w:sz w:val="21"/>
                <w:szCs w:val="21"/>
                <w:u w:val="none"/>
                <w:lang w:val="en-US" w:eastAsia="zh-CN" w:bidi="ar"/>
              </w:rPr>
              <w:t>套</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i w:val="0"/>
                <w:iCs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三</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原字拆除清运</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项</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包含顶楼发光字和一、二号大门出入口处名称标牌拆除及清运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四</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质量安全检测费</w:t>
            </w:r>
          </w:p>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（包</w:t>
            </w:r>
            <w:r>
              <w:rPr>
                <w:rFonts w:hint="eastAsia" w:ascii="仿宋" w:hAnsi="仿宋" w:eastAsia="仿宋" w:cs="仿宋"/>
                <w:b w:val="0"/>
                <w:bCs w:val="0"/>
                <w:i w:val="0"/>
                <w:iCs w:val="0"/>
                <w:color w:val="000000"/>
                <w:kern w:val="2"/>
                <w:sz w:val="21"/>
                <w:szCs w:val="21"/>
                <w:u w:val="none"/>
                <w:lang w:val="en-US" w:eastAsia="zh-CN" w:bidi="ar-SA"/>
              </w:rPr>
              <w:t>含两年2024年和2025年检测费用</w:t>
            </w:r>
            <w:r>
              <w:rPr>
                <w:rFonts w:hint="eastAsia" w:ascii="仿宋" w:hAnsi="仿宋" w:eastAsia="仿宋" w:cs="仿宋"/>
                <w:b w:val="0"/>
                <w:bCs w:val="0"/>
                <w:i w:val="0"/>
                <w:iCs w:val="0"/>
                <w:color w:val="000000"/>
                <w:kern w:val="2"/>
                <w:sz w:val="21"/>
                <w:szCs w:val="21"/>
                <w:u w:val="none"/>
                <w:lang w:val="en-US" w:eastAsia="zh-CN" w:bidi="ar-SA"/>
              </w:rPr>
              <w:t>）</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项</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发光字体制作</w:t>
            </w:r>
            <w:r>
              <w:rPr>
                <w:rFonts w:hint="eastAsia" w:ascii="仿宋" w:hAnsi="仿宋" w:eastAsia="仿宋" w:cs="仿宋"/>
                <w:b w:val="0"/>
                <w:bCs w:val="0"/>
                <w:i w:val="0"/>
                <w:iCs w:val="0"/>
                <w:color w:val="000000"/>
                <w:kern w:val="2"/>
                <w:sz w:val="21"/>
                <w:szCs w:val="21"/>
                <w:u w:val="none"/>
                <w:lang w:val="en-US" w:eastAsia="zh-CN" w:bidi="ar-SA"/>
              </w:rPr>
              <w:t>安装完成后，须经有资质的检测单位安全检测合格，提供检测报告。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color w:val="000000"/>
                <w:sz w:val="21"/>
                <w:szCs w:val="21"/>
                <w:vertAlign w:val="baseline"/>
                <w:lang w:val="en-US" w:eastAsia="zh-CN"/>
              </w:rPr>
            </w:pP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i w:val="0"/>
                <w:iCs w:val="0"/>
                <w:color w:val="000000"/>
                <w:kern w:val="0"/>
                <w:sz w:val="21"/>
                <w:szCs w:val="21"/>
                <w:u w:val="none"/>
                <w:lang w:val="en-US" w:eastAsia="zh-CN" w:bidi="ar"/>
              </w:rPr>
            </w:pPr>
            <w:r>
              <w:rPr>
                <w:rFonts w:hint="eastAsia" w:ascii="仿宋" w:hAnsi="仿宋" w:eastAsia="仿宋" w:cs="仿宋"/>
                <w:b w:val="0"/>
                <w:i w:val="0"/>
                <w:iCs w:val="0"/>
                <w:color w:val="000000"/>
                <w:kern w:val="0"/>
                <w:sz w:val="21"/>
                <w:szCs w:val="21"/>
                <w:u w:val="none"/>
                <w:lang w:val="en-US" w:eastAsia="zh-CN" w:bidi="ar"/>
              </w:rPr>
              <w:t>合计</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i w:val="0"/>
                <w:iCs w:val="0"/>
                <w:color w:val="000000"/>
                <w:kern w:val="0"/>
                <w:sz w:val="21"/>
                <w:szCs w:val="21"/>
                <w:u w:val="none"/>
                <w:lang w:val="en-US" w:eastAsia="zh-CN" w:bidi="ar"/>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i w:val="0"/>
                <w:iCs w:val="0"/>
                <w:color w:val="000000"/>
                <w:kern w:val="0"/>
                <w:sz w:val="21"/>
                <w:szCs w:val="21"/>
                <w:u w:val="none"/>
                <w:lang w:val="en-US" w:eastAsia="zh-CN" w:bidi="ar"/>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color w:val="000000"/>
                <w:sz w:val="21"/>
                <w:szCs w:val="21"/>
                <w:vertAlign w:val="baseline"/>
                <w:lang w:val="en-US" w:eastAsia="zh-CN"/>
              </w:rPr>
            </w:pPr>
            <w:r>
              <w:rPr>
                <w:rFonts w:hint="eastAsia" w:ascii="仿宋" w:hAnsi="仿宋" w:eastAsia="仿宋" w:cs="仿宋"/>
                <w:b w:val="0"/>
                <w:bCs/>
                <w:color w:val="000000"/>
                <w:vertAlign w:val="baseline"/>
                <w:lang w:val="en-US" w:eastAsia="zh-CN"/>
              </w:rPr>
              <w:t>备注</w:t>
            </w:r>
          </w:p>
        </w:tc>
        <w:tc>
          <w:tcPr>
            <w:tcW w:w="8887"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ind w:firstLine="420" w:firstLineChars="200"/>
              <w:jc w:val="both"/>
              <w:rPr>
                <w:rFonts w:hint="eastAsia" w:ascii="仿宋" w:hAnsi="仿宋" w:eastAsia="仿宋" w:cs="仿宋"/>
                <w:b w:val="0"/>
                <w:bCs/>
                <w:lang w:val="en-US" w:eastAsia="zh-CN"/>
              </w:rPr>
            </w:pPr>
            <w:r>
              <w:rPr>
                <w:rFonts w:hint="eastAsia" w:ascii="仿宋" w:hAnsi="仿宋" w:eastAsia="仿宋" w:cs="仿宋"/>
                <w:b w:val="0"/>
                <w:bCs/>
                <w:lang w:val="en-US" w:eastAsia="zh-CN"/>
              </w:rPr>
              <w:t>1、标识标牌制作须以原标识标牌作为参考模板进行制作安装；投标人可自行进行现场踏勘后进行综合报价；</w:t>
            </w:r>
          </w:p>
          <w:p>
            <w:pPr>
              <w:ind w:firstLine="420" w:firstLineChars="200"/>
              <w:jc w:val="both"/>
              <w:rPr>
                <w:rFonts w:hint="eastAsia" w:ascii="仿宋" w:hAnsi="仿宋" w:eastAsia="仿宋" w:cs="仿宋"/>
                <w:b w:val="0"/>
                <w:bCs/>
                <w:lang w:val="en-US" w:eastAsia="zh-CN"/>
              </w:rPr>
            </w:pPr>
            <w:r>
              <w:rPr>
                <w:rFonts w:hint="eastAsia" w:ascii="仿宋" w:hAnsi="仿宋" w:eastAsia="仿宋" w:cs="仿宋"/>
                <w:b w:val="0"/>
                <w:bCs/>
                <w:lang w:val="en-US" w:eastAsia="zh-CN"/>
              </w:rPr>
              <w:t>2、本工程实际分项工程内容为包含但不限于表中所列分项名称内容；</w:t>
            </w:r>
          </w:p>
          <w:p>
            <w:pPr>
              <w:jc w:val="both"/>
              <w:rPr>
                <w:rFonts w:hint="eastAsia" w:ascii="仿宋" w:hAnsi="仿宋" w:eastAsia="仿宋" w:cs="仿宋"/>
                <w:b w:val="0"/>
                <w:bCs/>
                <w:color w:val="000000"/>
                <w:sz w:val="21"/>
                <w:szCs w:val="21"/>
                <w:vertAlign w:val="baseline"/>
                <w:lang w:val="en-US" w:eastAsia="zh-CN"/>
              </w:rPr>
            </w:pPr>
            <w:r>
              <w:rPr>
                <w:rFonts w:hint="eastAsia" w:ascii="仿宋" w:hAnsi="仿宋" w:eastAsia="仿宋" w:cs="仿宋"/>
                <w:b w:val="0"/>
                <w:bCs/>
                <w:lang w:val="en-US" w:eastAsia="zh-CN"/>
              </w:rPr>
              <w:t xml:space="preserve">    3、本工程报价采用总价包干（含税）方式进行报价，请各投标人综合考虑进行报价。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9525"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lang w:val="en-US" w:eastAsia="zh-CN"/>
              </w:rPr>
            </w:pPr>
            <w:r>
              <w:rPr>
                <w:rFonts w:hint="eastAsia" w:ascii="仿宋" w:hAnsi="仿宋" w:eastAsia="仿宋" w:cs="仿宋"/>
                <w:b/>
                <w:bCs/>
                <w:lang w:val="en-US" w:eastAsia="zh-CN"/>
              </w:rPr>
              <w:t>效果参照图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trPr>
        <w:tc>
          <w:tcPr>
            <w:tcW w:w="9525"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rPr>
            </w:pPr>
            <w:r>
              <w:rPr>
                <w:rFonts w:hint="eastAsia" w:ascii="仿宋" w:hAnsi="仿宋" w:eastAsia="仿宋" w:cs="仿宋"/>
              </w:rPr>
              <w:drawing>
                <wp:inline distT="0" distB="0" distL="114300" distR="114300">
                  <wp:extent cx="2536825" cy="1904365"/>
                  <wp:effectExtent l="0" t="0" r="15875" b="635"/>
                  <wp:docPr id="2" name="图片 1" descr="效果图蓝（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效果图蓝（白）"/>
                          <pic:cNvPicPr>
                            <a:picLocks noChangeAspect="1"/>
                          </pic:cNvPicPr>
                        </pic:nvPicPr>
                        <pic:blipFill>
                          <a:blip r:embed="rId6"/>
                          <a:stretch>
                            <a:fillRect/>
                          </a:stretch>
                        </pic:blipFill>
                        <pic:spPr>
                          <a:xfrm>
                            <a:off x="0" y="0"/>
                            <a:ext cx="2536825" cy="1904365"/>
                          </a:xfrm>
                          <a:prstGeom prst="rect">
                            <a:avLst/>
                          </a:prstGeom>
                          <a:noFill/>
                          <a:ln>
                            <a:noFill/>
                          </a:ln>
                        </pic:spPr>
                      </pic:pic>
                    </a:graphicData>
                  </a:graphic>
                </wp:inline>
              </w:drawing>
            </w: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2536825" cy="1905000"/>
                  <wp:effectExtent l="0" t="0" r="15875" b="0"/>
                  <wp:docPr id="3" name="图片 2" descr="效果图白(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效果图白(夜）"/>
                          <pic:cNvPicPr>
                            <a:picLocks noChangeAspect="1"/>
                          </pic:cNvPicPr>
                        </pic:nvPicPr>
                        <pic:blipFill>
                          <a:blip r:embed="rId7"/>
                          <a:stretch>
                            <a:fillRect/>
                          </a:stretch>
                        </pic:blipFill>
                        <pic:spPr>
                          <a:xfrm>
                            <a:off x="0" y="0"/>
                            <a:ext cx="2536825" cy="1905000"/>
                          </a:xfrm>
                          <a:prstGeom prst="rect">
                            <a:avLst/>
                          </a:prstGeom>
                          <a:noFill/>
                          <a:ln>
                            <a:noFill/>
                          </a:ln>
                        </pic:spPr>
                      </pic:pic>
                    </a:graphicData>
                  </a:graphic>
                </wp:inline>
              </w:drawing>
            </w:r>
          </w:p>
          <w:p>
            <w:pPr>
              <w:pStyle w:val="6"/>
              <w:jc w:val="center"/>
              <w:rPr>
                <w:rFonts w:hint="eastAsia" w:ascii="仿宋" w:hAnsi="仿宋" w:eastAsia="仿宋" w:cs="仿宋"/>
                <w:lang w:val="en-US" w:eastAsia="zh-CN"/>
              </w:rPr>
            </w:pPr>
            <w:r>
              <w:rPr>
                <w:rFonts w:hint="eastAsia" w:ascii="仿宋" w:hAnsi="仿宋" w:eastAsia="仿宋" w:cs="仿宋"/>
              </w:rPr>
              <w:drawing>
                <wp:inline distT="0" distB="0" distL="114300" distR="114300">
                  <wp:extent cx="2464435" cy="1846580"/>
                  <wp:effectExtent l="0" t="0" r="12065" b="1270"/>
                  <wp:docPr id="5" name="图片 3" descr="E:/盛禾广告/贵阳水务/24-2-18/微信图片_20240218151601.jpg微信图片_2024021815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E:/盛禾广告/贵阳水务/24-2-18/微信图片_20240218151601.jpg微信图片_20240218151601"/>
                          <pic:cNvPicPr>
                            <a:picLocks noChangeAspect="1"/>
                          </pic:cNvPicPr>
                        </pic:nvPicPr>
                        <pic:blipFill>
                          <a:blip r:embed="rId8"/>
                          <a:srcRect t="50" b="50"/>
                          <a:stretch>
                            <a:fillRect/>
                          </a:stretch>
                        </pic:blipFill>
                        <pic:spPr>
                          <a:xfrm>
                            <a:off x="0" y="0"/>
                            <a:ext cx="2464435" cy="1846580"/>
                          </a:xfrm>
                          <a:prstGeom prst="rect">
                            <a:avLst/>
                          </a:prstGeom>
                          <a:noFill/>
                          <a:ln>
                            <a:noFill/>
                          </a:ln>
                        </pic:spPr>
                      </pic:pic>
                    </a:graphicData>
                  </a:graphic>
                </wp:inline>
              </w:drawing>
            </w: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2487930" cy="1865630"/>
                  <wp:effectExtent l="0" t="0" r="7620" b="1270"/>
                  <wp:docPr id="4" name="图片 4" descr="E:/盛禾广告/贵阳水务/24-2-18/微信图片_20240218151548.jpg微信图片_2024021815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盛禾广告/贵阳水务/24-2-18/微信图片_20240218151548.jpg微信图片_20240218151548"/>
                          <pic:cNvPicPr>
                            <a:picLocks noChangeAspect="1"/>
                          </pic:cNvPicPr>
                        </pic:nvPicPr>
                        <pic:blipFill>
                          <a:blip r:embed="rId9"/>
                          <a:srcRect l="35" t="-35" r="35" b="35"/>
                          <a:stretch>
                            <a:fillRect/>
                          </a:stretch>
                        </pic:blipFill>
                        <pic:spPr>
                          <a:xfrm>
                            <a:off x="0" y="0"/>
                            <a:ext cx="2487930" cy="1865630"/>
                          </a:xfrm>
                          <a:prstGeom prst="rect">
                            <a:avLst/>
                          </a:prstGeom>
                          <a:noFill/>
                          <a:ln>
                            <a:noFill/>
                          </a:ln>
                        </pic:spPr>
                      </pic:pic>
                    </a:graphicData>
                  </a:graphic>
                </wp:inline>
              </w:drawing>
            </w:r>
          </w:p>
        </w:tc>
      </w:tr>
    </w:tbl>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三、供货要求：</w:t>
      </w:r>
    </w:p>
    <w:p>
      <w:pPr>
        <w:pStyle w:val="22"/>
        <w:keepNext w:val="0"/>
        <w:keepLines w:val="0"/>
        <w:pageBreakBefore w:val="0"/>
        <w:widowControl w:val="0"/>
        <w:numPr>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1.本次采购金属LED发光字及标识标牌产品须满足采购人使用要求，在设计制作前应提供设计样板经采购人同意后，方可进行制作安装。</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2.产品质量须满足国家及行业最新相关规范要求，质量保修期按国家规定的标准延保2年。</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default"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3.实施过程中确保安全文明施工，要求供应商上门安装人员为供应商的在册在岗职工，供应商应对其缴纳相应的社保及高空作业险，同时安装人员须具备高空作业操作证。</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4.供货要求：提供的发光字体安装配件电线不低于玉蝶、固达、金杯等一线品牌；且不低于现状字体的材质及安装品质。</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5.验收要求：经采购人验收通过后，须经有资质的检测单位安全检测合格后，报观山湖区城管备案。（注：检测费包含在投标报价中，不另外计取。）</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6.质保期为1年，时间自调试合格、采购人验收通过后开始计算。</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color w:val="FF0000"/>
          <w:kern w:val="0"/>
          <w:sz w:val="32"/>
          <w:szCs w:val="32"/>
          <w:highlight w:val="none"/>
          <w:lang w:val="en-US" w:eastAsia="zh-CN"/>
        </w:rPr>
      </w:pPr>
      <w:r>
        <w:rPr>
          <w:rFonts w:hint="eastAsia" w:ascii="仿宋" w:hAnsi="仿宋" w:eastAsia="仿宋" w:cs="仿宋"/>
          <w:b w:val="0"/>
          <w:bCs/>
          <w:color w:val="FF0000"/>
          <w:kern w:val="0"/>
          <w:sz w:val="32"/>
          <w:szCs w:val="32"/>
          <w:highlight w:val="none"/>
          <w:lang w:val="en-US" w:eastAsia="zh-CN"/>
        </w:rPr>
        <w:t>7.中标供货人需按比选文件约定的工期完成制作安装内容，若中标人在实施过程中不能满足采购人的进度要求，进度严重滞后，采购人督促无果后，采购人有权更换中标人，中标人将承担违约责任。</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黑体" w:hAnsi="黑体" w:eastAsia="黑体" w:cs="黑体"/>
          <w:b w:val="0"/>
          <w:bCs/>
          <w:kern w:val="0"/>
          <w:sz w:val="32"/>
          <w:szCs w:val="32"/>
          <w:highlight w:val="none"/>
          <w:lang w:val="en-US" w:eastAsia="zh-CN"/>
        </w:rPr>
      </w:pP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四、工程款支付要求</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bidi="zh-CN"/>
        </w:rPr>
      </w:pPr>
      <w:r>
        <w:rPr>
          <w:rFonts w:hint="eastAsia" w:ascii="仿宋" w:hAnsi="仿宋" w:eastAsia="仿宋" w:cs="仿宋"/>
          <w:b w:val="0"/>
          <w:bCs/>
          <w:kern w:val="0"/>
          <w:sz w:val="32"/>
          <w:szCs w:val="32"/>
          <w:highlight w:val="none"/>
          <w:lang w:val="en-US" w:eastAsia="zh-CN" w:bidi="zh-CN"/>
        </w:rPr>
        <w:t>制作安装完成、经采购人验收合格，并经有资质的检测单位检测合格后，一个月内付清合同价款的97%，剩余3%作为质保金，质保期满后，无质量问题的无息全额退还余款。</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黑体" w:hAnsi="黑体" w:eastAsia="黑体" w:cs="黑体"/>
          <w:b w:val="0"/>
          <w:bCs/>
          <w:kern w:val="0"/>
          <w:sz w:val="32"/>
          <w:szCs w:val="32"/>
          <w:highlight w:val="none"/>
          <w:lang w:val="en-US" w:eastAsia="zh-CN"/>
        </w:rPr>
      </w:pP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黑体" w:hAnsi="黑体" w:eastAsia="黑体" w:cs="黑体"/>
          <w:b w:val="0"/>
          <w:bCs/>
          <w:kern w:val="0"/>
          <w:sz w:val="32"/>
          <w:szCs w:val="32"/>
          <w:highlight w:val="none"/>
          <w:lang w:val="en-US" w:eastAsia="zh-CN"/>
        </w:rPr>
      </w:pPr>
      <w:r>
        <w:rPr>
          <w:rFonts w:hint="eastAsia" w:ascii="黑体" w:hAnsi="黑体" w:eastAsia="黑体" w:cs="黑体"/>
          <w:b w:val="0"/>
          <w:bCs/>
          <w:kern w:val="0"/>
          <w:sz w:val="32"/>
          <w:szCs w:val="32"/>
          <w:highlight w:val="none"/>
          <w:lang w:val="en-US" w:eastAsia="zh-CN"/>
        </w:rPr>
        <w:t>五、其他要求</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1.本项目不接受联合体参选；</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2.本项目不允许分包；</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3.若在评审阶段，发现竞选单位提供的相关资料经查实为虚假的，将按无效标处理，不再进入下一阶段评审；</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4.若发现中选单位因所提供的虚假资料而中选，将取消其中选资格，情节严重将移交相关监管部门依法处理；</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left="638" w:leftChars="304" w:right="0" w:rightChars="0" w:firstLine="0" w:firstLineChars="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5.参选人必须严格执行采购人有关工作的安排和要求。</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3" w:firstLineChars="200"/>
        <w:jc w:val="left"/>
        <w:textAlignment w:val="auto"/>
        <w:rPr>
          <w:rFonts w:hint="eastAsia" w:ascii="仿宋" w:hAnsi="仿宋" w:eastAsia="仿宋" w:cs="仿宋"/>
          <w:b/>
          <w:bCs w:val="0"/>
          <w:kern w:val="0"/>
          <w:sz w:val="32"/>
          <w:szCs w:val="32"/>
          <w:highlight w:val="none"/>
          <w:lang w:val="en-US" w:eastAsia="zh-CN"/>
        </w:rPr>
      </w:pPr>
      <w:r>
        <w:rPr>
          <w:rFonts w:hint="eastAsia" w:ascii="仿宋" w:hAnsi="仿宋" w:eastAsia="仿宋" w:cs="仿宋"/>
          <w:b/>
          <w:bCs w:val="0"/>
          <w:kern w:val="0"/>
          <w:sz w:val="32"/>
          <w:szCs w:val="32"/>
          <w:highlight w:val="none"/>
          <w:lang w:val="en-US" w:eastAsia="zh-CN"/>
        </w:rPr>
        <w:t>6.供应商在响应文件中须对以下条款进行承诺：</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（1）中标（成交）后，按采购人的合同范本签订服务合同；若我单位未按比选文件及合同规定对采购人履行义务和责任的，应当承担相应的法律责任，导致采购人造成经济损失的，需进行相应赔偿。</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（2）企业不存在被责令停业，暂扣或吊销执照，吊销资质证书，执照、资质证书过期或存在引起执照、资质证书变更的事项而未变更执照、资质证书的情况；</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default"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（3）企业不存在进入清算程序，或被宣告破产，或其他丧失履约能力的情形。</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left="638" w:leftChars="304" w:right="0" w:rightChars="0" w:firstLine="0" w:firstLineChars="0"/>
        <w:jc w:val="left"/>
        <w:textAlignment w:val="auto"/>
        <w:rPr>
          <w:rFonts w:hint="eastAsia" w:ascii="仿宋" w:hAnsi="仿宋" w:eastAsia="仿宋" w:cs="仿宋"/>
          <w:b w:val="0"/>
          <w:bCs/>
          <w:kern w:val="0"/>
          <w:sz w:val="32"/>
          <w:szCs w:val="32"/>
          <w:highlight w:val="none"/>
          <w:lang w:val="en-US" w:eastAsia="zh-CN"/>
        </w:rPr>
      </w:pPr>
    </w:p>
    <w:p>
      <w:pPr>
        <w:pStyle w:val="22"/>
        <w:keepNext w:val="0"/>
        <w:keepLines w:val="0"/>
        <w:pageBreakBefore w:val="0"/>
        <w:widowControl w:val="0"/>
        <w:numPr>
          <w:ilvl w:val="0"/>
          <w:numId w:val="1"/>
        </w:numPr>
        <w:tabs>
          <w:tab w:val="left" w:pos="840"/>
        </w:tabs>
        <w:kinsoku/>
        <w:wordWrap/>
        <w:overflowPunct/>
        <w:topLinePunct w:val="0"/>
        <w:autoSpaceDE/>
        <w:autoSpaceDN/>
        <w:bidi w:val="0"/>
        <w:adjustRightInd/>
        <w:snapToGrid/>
        <w:spacing w:after="0" w:line="540" w:lineRule="exact"/>
        <w:ind w:right="0" w:rightChars="0"/>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 xml:space="preserve"> 参选人资格条件</w:t>
      </w:r>
    </w:p>
    <w:p>
      <w:pPr>
        <w:pStyle w:val="22"/>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after="0" w:line="540" w:lineRule="exact"/>
        <w:ind w:left="0" w:right="0" w:rightChars="0" w:firstLine="643" w:firstLineChars="200"/>
        <w:jc w:val="both"/>
        <w:textAlignment w:val="auto"/>
        <w:rPr>
          <w:rFonts w:hint="eastAsia" w:ascii="黑体" w:hAnsi="黑体" w:eastAsia="黑体" w:cs="黑体"/>
          <w:sz w:val="32"/>
          <w:szCs w:val="32"/>
          <w:highlight w:val="none"/>
          <w:lang w:val="en-US" w:eastAsia="zh-CN"/>
        </w:rPr>
      </w:pPr>
      <w:r>
        <w:rPr>
          <w:rFonts w:hint="eastAsia" w:ascii="仿宋" w:hAnsi="仿宋" w:eastAsia="仿宋" w:cs="仿宋"/>
          <w:b/>
          <w:bCs/>
          <w:sz w:val="32"/>
          <w:szCs w:val="32"/>
          <w:highlight w:val="none"/>
          <w:lang w:val="en-US" w:eastAsia="zh-CN"/>
        </w:rPr>
        <w:t>*本项目实施资格审查，参选供应商在报名获取比选文件时需提交以下资料一份（需加盖企业公章），满足以下资格条件的供应商方可参加比选。</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bookmarkStart w:id="22" w:name="_Toc13648900"/>
      <w:r>
        <w:rPr>
          <w:rFonts w:hint="eastAsia" w:ascii="仿宋" w:hAnsi="仿宋" w:eastAsia="仿宋" w:cs="仿宋"/>
          <w:sz w:val="32"/>
          <w:szCs w:val="32"/>
          <w:highlight w:val="none"/>
          <w:lang w:val="en-US" w:eastAsia="zh-CN"/>
        </w:rPr>
        <w:t>一、具有中华人民共和国境内依法登记注册的独立法人资格，具有独立承担民事责任的能力：提供有效的载明统一社会信用代码的营业执照正本或副本复印件并加盖单位公章。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二、有效法定代表人身份证明及法人身份证正反面，或有效的法定代表人授权书（包含授权书、被授权人身份证正反面、法人身份证正反面）；</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val="0"/>
          <w:bCs w:val="0"/>
          <w:sz w:val="32"/>
          <w:szCs w:val="32"/>
          <w:highlight w:val="none"/>
          <w:lang w:val="en-US" w:eastAsia="zh-CN"/>
        </w:rPr>
        <w:t>三、</w:t>
      </w:r>
      <w:r>
        <w:rPr>
          <w:rFonts w:hint="default" w:ascii="仿宋" w:hAnsi="仿宋" w:eastAsia="仿宋" w:cs="仿宋"/>
          <w:b w:val="0"/>
          <w:bCs w:val="0"/>
          <w:sz w:val="32"/>
          <w:szCs w:val="32"/>
          <w:highlight w:val="none"/>
          <w:lang w:val="en-US" w:eastAsia="zh-CN"/>
        </w:rPr>
        <w:t>具有良好的商业信誉和</w:t>
      </w:r>
      <w:r>
        <w:rPr>
          <w:rFonts w:hint="default" w:ascii="仿宋" w:hAnsi="仿宋" w:eastAsia="仿宋" w:cs="仿宋"/>
          <w:sz w:val="32"/>
          <w:szCs w:val="32"/>
          <w:highlight w:val="none"/>
          <w:lang w:val="en-US" w:eastAsia="zh-CN"/>
        </w:rPr>
        <w:t>健全的财务会计制度，</w:t>
      </w:r>
      <w:r>
        <w:rPr>
          <w:rFonts w:hint="eastAsia" w:ascii="仿宋" w:hAnsi="仿宋" w:eastAsia="仿宋" w:cs="仿宋"/>
          <w:sz w:val="32"/>
          <w:szCs w:val="32"/>
          <w:highlight w:val="none"/>
          <w:lang w:val="en-US" w:eastAsia="zh-CN"/>
        </w:rPr>
        <w:t>提供2022年度财务报表,新成立公司或者成立不满一年的公司提供银行出具的资信证明；（复印件加盖单位公章）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四、具有履行合同所必备的设施设备和专业服务能力：提供承诺书原件。（供应商自行承诺，格式自拟）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五、具有依法缴纳税收的良好记录，提供2022年至今任意连续三个月连续缴纳税收凭证等相关资料。(复印件加盖投标人公章）。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六、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报价资格，并承担由此造成的一切法律责任及后果。（供应商自行承诺，格式自拟）</w:t>
      </w:r>
    </w:p>
    <w:p>
      <w:pPr>
        <w:pStyle w:val="2"/>
        <w:pageBreakBefore w:val="0"/>
        <w:widowControl w:val="0"/>
        <w:kinsoku/>
        <w:wordWrap/>
        <w:overflowPunct/>
        <w:topLinePunct w:val="0"/>
        <w:autoSpaceDE/>
        <w:autoSpaceDN/>
        <w:bidi w:val="0"/>
        <w:adjustRightInd/>
        <w:snapToGrid/>
        <w:spacing w:line="540" w:lineRule="exact"/>
        <w:textAlignment w:val="auto"/>
        <w:rPr>
          <w:rFonts w:hint="eastAsia" w:ascii="方正小标宋简体" w:hAnsi="方正小标宋简体" w:eastAsia="方正小标宋简体" w:cs="方正小标宋简体"/>
          <w:b w:val="0"/>
          <w:bCs/>
          <w:color w:val="000000"/>
          <w:sz w:val="32"/>
          <w:szCs w:val="32"/>
          <w:highlight w:val="none"/>
        </w:rPr>
      </w:pPr>
    </w:p>
    <w:p>
      <w:pPr>
        <w:pStyle w:val="2"/>
        <w:pageBreakBefore w:val="0"/>
        <w:widowControl w:val="0"/>
        <w:kinsoku/>
        <w:wordWrap/>
        <w:overflowPunct/>
        <w:topLinePunct w:val="0"/>
        <w:autoSpaceDE/>
        <w:autoSpaceDN/>
        <w:bidi w:val="0"/>
        <w:adjustRightInd/>
        <w:snapToGrid/>
        <w:spacing w:line="540" w:lineRule="exact"/>
        <w:textAlignment w:val="auto"/>
        <w:rPr>
          <w:rFonts w:hint="eastAsia" w:ascii="方正小标宋简体" w:hAnsi="方正小标宋简体" w:eastAsia="方正小标宋简体" w:cs="方正小标宋简体"/>
          <w:b w:val="0"/>
          <w:bCs/>
          <w:color w:val="000000"/>
          <w:sz w:val="32"/>
          <w:szCs w:val="32"/>
          <w:highlight w:val="none"/>
        </w:rPr>
      </w:pPr>
      <w:r>
        <w:rPr>
          <w:rFonts w:hint="eastAsia" w:ascii="方正小标宋简体" w:hAnsi="方正小标宋简体" w:eastAsia="方正小标宋简体" w:cs="方正小标宋简体"/>
          <w:b w:val="0"/>
          <w:bCs/>
          <w:color w:val="000000"/>
          <w:sz w:val="32"/>
          <w:szCs w:val="32"/>
          <w:highlight w:val="none"/>
        </w:rPr>
        <w:t>第二章   商务条款</w:t>
      </w:r>
      <w:bookmarkEnd w:id="22"/>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1．适用范围</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1.1 本比选文件仅适用于本文件约定的</w:t>
      </w:r>
      <w:r>
        <w:rPr>
          <w:rFonts w:hint="eastAsia" w:ascii="仿宋" w:hAnsi="仿宋" w:eastAsia="仿宋" w:cs="仿宋"/>
          <w:color w:val="000000"/>
          <w:sz w:val="32"/>
          <w:szCs w:val="32"/>
          <w:highlight w:val="none"/>
          <w:lang w:val="en-US" w:eastAsia="zh-CN"/>
        </w:rPr>
        <w:t>贵阳市水务环境集团有限公司办公大楼发光字及标识标牌制作安装采购项目</w:t>
      </w:r>
      <w:r>
        <w:rPr>
          <w:rFonts w:hint="eastAsia" w:ascii="仿宋" w:hAnsi="仿宋" w:eastAsia="仿宋" w:cs="仿宋"/>
          <w:color w:val="000000"/>
          <w:sz w:val="32"/>
          <w:szCs w:val="32"/>
          <w:highlight w:val="none"/>
        </w:rPr>
        <w:t>的比选。</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2．定义</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2.1 “采购人”指</w:t>
      </w:r>
      <w:r>
        <w:rPr>
          <w:rFonts w:hint="eastAsia" w:ascii="仿宋" w:hAnsi="仿宋" w:eastAsia="仿宋" w:cs="仿宋"/>
          <w:color w:val="000000"/>
          <w:sz w:val="32"/>
          <w:szCs w:val="32"/>
          <w:highlight w:val="none"/>
          <w:lang w:val="en-US" w:eastAsia="zh-CN"/>
        </w:rPr>
        <w:t>贵阳市水务环境集团有限公司</w:t>
      </w:r>
      <w:r>
        <w:rPr>
          <w:rFonts w:hint="eastAsia" w:ascii="仿宋" w:hAnsi="仿宋" w:eastAsia="仿宋" w:cs="仿宋"/>
          <w:color w:val="000000"/>
          <w:sz w:val="32"/>
          <w:szCs w:val="32"/>
          <w:highlight w:val="none"/>
        </w:rPr>
        <w:t>。</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2.3 “参选人”指向</w:t>
      </w:r>
      <w:r>
        <w:rPr>
          <w:rFonts w:hint="eastAsia" w:ascii="仿宋" w:hAnsi="仿宋" w:eastAsia="仿宋" w:cs="仿宋"/>
          <w:color w:val="000000"/>
          <w:sz w:val="32"/>
          <w:szCs w:val="32"/>
          <w:highlight w:val="none"/>
          <w:u w:val="single"/>
        </w:rPr>
        <w:t>采购人提交响应文件、参与本次评选的</w:t>
      </w:r>
      <w:r>
        <w:rPr>
          <w:rFonts w:hint="eastAsia" w:ascii="仿宋" w:hAnsi="仿宋" w:eastAsia="仿宋" w:cs="仿宋"/>
          <w:color w:val="000000"/>
          <w:sz w:val="32"/>
          <w:szCs w:val="32"/>
          <w:highlight w:val="none"/>
          <w:u w:val="single"/>
          <w:lang w:val="en-US" w:eastAsia="zh-CN"/>
        </w:rPr>
        <w:t>服务供应商</w:t>
      </w:r>
      <w:r>
        <w:rPr>
          <w:rFonts w:hint="eastAsia" w:ascii="仿宋" w:hAnsi="仿宋" w:eastAsia="仿宋" w:cs="仿宋"/>
          <w:color w:val="000000"/>
          <w:sz w:val="32"/>
          <w:szCs w:val="32"/>
          <w:highlight w:val="none"/>
        </w:rPr>
        <w:t>。</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3．合格的参选人</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3.1 响应本次比选、具备相应能力提供</w:t>
      </w:r>
      <w:r>
        <w:rPr>
          <w:rFonts w:hint="eastAsia" w:ascii="仿宋" w:hAnsi="仿宋" w:eastAsia="仿宋" w:cs="仿宋"/>
          <w:color w:val="000000"/>
          <w:sz w:val="32"/>
          <w:szCs w:val="32"/>
          <w:highlight w:val="none"/>
          <w:lang w:val="en-US" w:eastAsia="zh-CN"/>
        </w:rPr>
        <w:t>发光字、</w:t>
      </w:r>
      <w:r>
        <w:rPr>
          <w:rFonts w:hint="eastAsia" w:ascii="仿宋" w:hAnsi="仿宋" w:eastAsia="仿宋" w:cs="仿宋"/>
          <w:b w:val="0"/>
          <w:bCs/>
          <w:kern w:val="0"/>
          <w:sz w:val="32"/>
          <w:szCs w:val="32"/>
          <w:highlight w:val="none"/>
          <w:lang w:val="en-US" w:eastAsia="zh-CN"/>
        </w:rPr>
        <w:t>标识标牌定制、采购服务</w:t>
      </w:r>
      <w:r>
        <w:rPr>
          <w:rFonts w:hint="eastAsia" w:ascii="仿宋" w:hAnsi="仿宋" w:eastAsia="仿宋" w:cs="仿宋"/>
          <w:color w:val="000000"/>
          <w:sz w:val="32"/>
          <w:szCs w:val="32"/>
          <w:highlight w:val="none"/>
        </w:rPr>
        <w:t>。</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3.2 遵守中国法律和有关规章、条例、制度。</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3.3 符合比选文件所规定的条件。</w:t>
      </w:r>
    </w:p>
    <w:p>
      <w:pPr>
        <w:pStyle w:val="9"/>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4．费用</w:t>
      </w:r>
    </w:p>
    <w:p>
      <w:pPr>
        <w:pStyle w:val="9"/>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4.1无论比选结果结果如何，参选人自行承担所有与参加比选有关的全部费用。</w:t>
      </w:r>
    </w:p>
    <w:p>
      <w:pPr>
        <w:pStyle w:val="9"/>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5．语言</w:t>
      </w:r>
    </w:p>
    <w:p>
      <w:pPr>
        <w:pStyle w:val="9"/>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5.1中文。</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6.</w:t>
      </w:r>
      <w:r>
        <w:rPr>
          <w:rFonts w:hint="eastAsia" w:ascii="仿宋" w:hAnsi="仿宋" w:eastAsia="仿宋" w:cs="仿宋"/>
          <w:color w:val="000000"/>
          <w:sz w:val="32"/>
          <w:szCs w:val="32"/>
          <w:highlight w:val="none"/>
        </w:rPr>
        <w:t>比选文件</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6.1</w:t>
      </w:r>
      <w:r>
        <w:rPr>
          <w:rFonts w:hint="eastAsia" w:ascii="仿宋" w:hAnsi="仿宋" w:eastAsia="仿宋" w:cs="仿宋"/>
          <w:color w:val="000000"/>
          <w:sz w:val="32"/>
          <w:szCs w:val="32"/>
          <w:highlight w:val="none"/>
        </w:rPr>
        <w:t xml:space="preserve"> 比选文件包括本文件及所发出的澄清、修改和补充。</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bookmarkStart w:id="23" w:name="_Toc320952828"/>
      <w:r>
        <w:rPr>
          <w:rFonts w:hint="eastAsia" w:ascii="仿宋" w:hAnsi="仿宋" w:eastAsia="仿宋" w:cs="仿宋"/>
          <w:color w:val="000000"/>
          <w:sz w:val="32"/>
          <w:szCs w:val="32"/>
          <w:highlight w:val="none"/>
          <w:lang w:val="en-US" w:eastAsia="zh-CN"/>
        </w:rPr>
        <w:t>7.</w:t>
      </w:r>
      <w:r>
        <w:rPr>
          <w:rFonts w:hint="eastAsia" w:ascii="仿宋" w:hAnsi="仿宋" w:eastAsia="仿宋" w:cs="仿宋"/>
          <w:color w:val="000000"/>
          <w:sz w:val="32"/>
          <w:szCs w:val="32"/>
          <w:highlight w:val="none"/>
        </w:rPr>
        <w:t>澄清</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7.1</w:t>
      </w:r>
      <w:r>
        <w:rPr>
          <w:rFonts w:hint="eastAsia" w:ascii="仿宋" w:hAnsi="仿宋" w:eastAsia="仿宋" w:cs="仿宋"/>
          <w:color w:val="000000"/>
          <w:sz w:val="32"/>
          <w:szCs w:val="32"/>
          <w:highlight w:val="none"/>
        </w:rPr>
        <w:t>参选人获取比选文件后，应仔细阅读比选文件的全部内容，若发现比选文件缺页或附件不全以及有违反国家法律、法规、规章的条款，应及时向采购人提出。</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7</w:t>
      </w:r>
      <w:r>
        <w:rPr>
          <w:rFonts w:hint="eastAsia" w:ascii="仿宋" w:hAnsi="仿宋" w:eastAsia="仿宋" w:cs="仿宋"/>
          <w:color w:val="000000"/>
          <w:sz w:val="32"/>
          <w:szCs w:val="32"/>
          <w:highlight w:val="none"/>
        </w:rPr>
        <w:t>.2 参选人若对比选文件有疑问需要澄清，可在比选截止前3日以书面形式（包括传真、电报、信函等）向采购人提交质疑文件（须加盖公章）。采购人将在比选文件规定的提交响应文件截止时间</w:t>
      </w:r>
      <w:r>
        <w:rPr>
          <w:rFonts w:hint="eastAsia" w:ascii="仿宋" w:hAnsi="仿宋" w:eastAsia="仿宋" w:cs="仿宋"/>
          <w:color w:val="000000"/>
          <w:sz w:val="32"/>
          <w:szCs w:val="32"/>
          <w:highlight w:val="none"/>
          <w:lang w:val="en-US" w:eastAsia="zh-CN"/>
        </w:rPr>
        <w:t>1</w:t>
      </w:r>
      <w:r>
        <w:rPr>
          <w:rFonts w:hint="eastAsia" w:ascii="仿宋" w:hAnsi="仿宋" w:eastAsia="仿宋" w:cs="仿宋"/>
          <w:color w:val="000000"/>
          <w:sz w:val="32"/>
          <w:szCs w:val="32"/>
          <w:highlight w:val="none"/>
        </w:rPr>
        <w:t>天前，将需澄清内容以书面形式通知所有参选人，但不指明澄清问题的来源。</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7</w:t>
      </w:r>
      <w:r>
        <w:rPr>
          <w:rFonts w:hint="eastAsia" w:ascii="仿宋" w:hAnsi="仿宋" w:eastAsia="仿宋" w:cs="仿宋"/>
          <w:color w:val="000000"/>
          <w:sz w:val="32"/>
          <w:szCs w:val="32"/>
          <w:highlight w:val="none"/>
        </w:rPr>
        <w:t xml:space="preserve">.3 澄清内容作为比选文件的组成部份，当比选文件与比选文件的澄清内容不一致时，以澄清内容为准。 </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7</w:t>
      </w:r>
      <w:r>
        <w:rPr>
          <w:rFonts w:hint="eastAsia" w:ascii="仿宋" w:hAnsi="仿宋" w:eastAsia="仿宋" w:cs="仿宋"/>
          <w:color w:val="000000"/>
          <w:sz w:val="32"/>
          <w:szCs w:val="32"/>
          <w:highlight w:val="none"/>
        </w:rPr>
        <w:t>.4 参选人在规定时间内不提交质疑文件的，视为充分理解并认可比选文件所有内容。</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8</w:t>
      </w:r>
      <w:r>
        <w:rPr>
          <w:rFonts w:hint="eastAsia" w:ascii="仿宋" w:hAnsi="仿宋" w:eastAsia="仿宋" w:cs="仿宋"/>
          <w:color w:val="000000"/>
          <w:sz w:val="32"/>
          <w:szCs w:val="32"/>
          <w:highlight w:val="none"/>
        </w:rPr>
        <w:t>．修改或补充</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8</w:t>
      </w:r>
      <w:r>
        <w:rPr>
          <w:rFonts w:hint="eastAsia" w:ascii="仿宋" w:hAnsi="仿宋" w:eastAsia="仿宋" w:cs="仿宋"/>
          <w:color w:val="000000"/>
          <w:sz w:val="32"/>
          <w:szCs w:val="32"/>
          <w:highlight w:val="none"/>
        </w:rPr>
        <w:t>.1 比选文件发出后,采购人可对比选文件进行修改或补充。</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8</w:t>
      </w:r>
      <w:r>
        <w:rPr>
          <w:rFonts w:hint="eastAsia" w:ascii="仿宋" w:hAnsi="仿宋" w:eastAsia="仿宋" w:cs="仿宋"/>
          <w:color w:val="000000"/>
          <w:sz w:val="32"/>
          <w:szCs w:val="32"/>
          <w:highlight w:val="none"/>
        </w:rPr>
        <w:t>.2 若有必要，采购人可酌情延长递交响应文件的截止时间。</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8</w:t>
      </w:r>
      <w:r>
        <w:rPr>
          <w:rFonts w:hint="eastAsia" w:ascii="仿宋" w:hAnsi="仿宋" w:eastAsia="仿宋" w:cs="仿宋"/>
          <w:color w:val="000000"/>
          <w:sz w:val="32"/>
          <w:szCs w:val="32"/>
          <w:highlight w:val="none"/>
        </w:rPr>
        <w:t>.3 比选文件的修改或补充内容作为比选文件的组成部分，当比选文件与比选文件的修改或补充内容表述不一致时，以修改或补充内容为准；当前后发出的修改或补充内容表述不一致时，以最迟发出的修改或补充内容为准。</w:t>
      </w:r>
    </w:p>
    <w:bookmarkEnd w:id="23"/>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9</w:t>
      </w:r>
      <w:r>
        <w:rPr>
          <w:rFonts w:hint="eastAsia" w:ascii="仿宋" w:hAnsi="仿宋" w:eastAsia="仿宋" w:cs="仿宋"/>
          <w:color w:val="000000"/>
          <w:sz w:val="32"/>
          <w:szCs w:val="32"/>
          <w:highlight w:val="none"/>
        </w:rPr>
        <w:t>．响应文件的组成</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9</w:t>
      </w:r>
      <w:r>
        <w:rPr>
          <w:rFonts w:hint="eastAsia" w:ascii="仿宋" w:hAnsi="仿宋" w:eastAsia="仿宋" w:cs="仿宋"/>
          <w:color w:val="000000"/>
          <w:sz w:val="32"/>
          <w:szCs w:val="32"/>
          <w:highlight w:val="none"/>
        </w:rPr>
        <w:t>.1 法定代表人身份证明及授权委托书</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lang w:eastAsia="zh-CN"/>
        </w:rPr>
      </w:pPr>
      <w:r>
        <w:rPr>
          <w:rFonts w:hint="eastAsia" w:ascii="仿宋" w:hAnsi="仿宋" w:eastAsia="仿宋" w:cs="仿宋"/>
          <w:color w:val="000000"/>
          <w:sz w:val="32"/>
          <w:szCs w:val="32"/>
          <w:highlight w:val="none"/>
          <w:lang w:val="en-US" w:eastAsia="zh-CN"/>
        </w:rPr>
        <w:t>9</w:t>
      </w:r>
      <w:r>
        <w:rPr>
          <w:rFonts w:hint="eastAsia" w:ascii="仿宋" w:hAnsi="仿宋" w:eastAsia="仿宋" w:cs="仿宋"/>
          <w:color w:val="000000"/>
          <w:sz w:val="32"/>
          <w:szCs w:val="32"/>
          <w:highlight w:val="none"/>
        </w:rPr>
        <w:t xml:space="preserve">.2 </w:t>
      </w:r>
      <w:r>
        <w:rPr>
          <w:rFonts w:hint="eastAsia" w:ascii="仿宋" w:hAnsi="仿宋" w:eastAsia="仿宋" w:cs="仿宋"/>
          <w:b w:val="0"/>
          <w:bCs/>
          <w:kern w:val="0"/>
          <w:sz w:val="32"/>
          <w:szCs w:val="32"/>
          <w:highlight w:val="none"/>
          <w:lang w:val="en-US" w:eastAsia="zh-CN"/>
        </w:rPr>
        <w:t>采购费用</w:t>
      </w:r>
      <w:r>
        <w:rPr>
          <w:rFonts w:hint="eastAsia" w:ascii="仿宋" w:hAnsi="仿宋" w:eastAsia="仿宋" w:cs="仿宋"/>
          <w:color w:val="000000"/>
          <w:sz w:val="32"/>
          <w:szCs w:val="32"/>
          <w:highlight w:val="none"/>
        </w:rPr>
        <w:t>报价</w:t>
      </w:r>
      <w:r>
        <w:rPr>
          <w:rFonts w:hint="eastAsia" w:ascii="仿宋" w:hAnsi="仿宋" w:eastAsia="仿宋" w:cs="仿宋"/>
          <w:color w:val="000000"/>
          <w:sz w:val="32"/>
          <w:szCs w:val="32"/>
          <w:highlight w:val="none"/>
          <w:lang w:val="en-US" w:eastAsia="zh-CN"/>
        </w:rPr>
        <w:t>表</w:t>
      </w:r>
    </w:p>
    <w:p>
      <w:pPr>
        <w:pStyle w:val="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9</w:t>
      </w:r>
      <w:r>
        <w:rPr>
          <w:rFonts w:hint="eastAsia" w:ascii="仿宋" w:hAnsi="仿宋" w:eastAsia="仿宋" w:cs="仿宋"/>
          <w:color w:val="000000"/>
          <w:sz w:val="32"/>
          <w:szCs w:val="32"/>
          <w:highlight w:val="none"/>
        </w:rPr>
        <w:t xml:space="preserve">.3 </w:t>
      </w:r>
      <w:r>
        <w:rPr>
          <w:rFonts w:hint="eastAsia" w:ascii="仿宋" w:hAnsi="仿宋" w:eastAsia="仿宋" w:cs="仿宋"/>
          <w:color w:val="000000"/>
          <w:sz w:val="32"/>
          <w:szCs w:val="32"/>
          <w:highlight w:val="none"/>
          <w:lang w:val="en-US" w:eastAsia="zh-CN"/>
        </w:rPr>
        <w:t>企业类似项目情况（近5年业绩）</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9.4</w:t>
      </w:r>
      <w:r>
        <w:rPr>
          <w:rFonts w:hint="eastAsia"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lang w:val="en-US" w:eastAsia="zh-CN"/>
        </w:rPr>
        <w:t>项目实施方案</w:t>
      </w:r>
    </w:p>
    <w:p>
      <w:pPr>
        <w:pStyle w:val="9"/>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 xml:space="preserve">  </w:t>
      </w:r>
      <w:r>
        <w:rPr>
          <w:rFonts w:hint="eastAsia"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lang w:val="en-US" w:eastAsia="zh-CN"/>
        </w:rPr>
        <w:t xml:space="preserve">9.5 </w:t>
      </w:r>
      <w:r>
        <w:rPr>
          <w:rFonts w:hint="eastAsia" w:ascii="仿宋" w:hAnsi="仿宋" w:eastAsia="仿宋" w:cs="仿宋"/>
          <w:color w:val="000000"/>
          <w:sz w:val="32"/>
          <w:szCs w:val="32"/>
          <w:highlight w:val="none"/>
        </w:rPr>
        <w:t>参选人认为有必要提供的其他资料</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10.响应文件</w:t>
      </w:r>
      <w:r>
        <w:rPr>
          <w:rFonts w:hint="eastAsia" w:ascii="仿宋" w:hAnsi="仿宋" w:eastAsia="仿宋" w:cs="仿宋"/>
          <w:color w:val="000000"/>
          <w:sz w:val="32"/>
          <w:szCs w:val="32"/>
          <w:highlight w:val="none"/>
        </w:rPr>
        <w:t>份数及标记</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eastAsia" w:ascii="仿宋" w:hAnsi="仿宋" w:eastAsia="仿宋" w:cs="仿宋"/>
          <w:b w:val="0"/>
          <w:bCs w:val="0"/>
          <w:color w:val="000000"/>
          <w:sz w:val="32"/>
          <w:szCs w:val="32"/>
          <w:highlight w:val="none"/>
        </w:rPr>
      </w:pPr>
      <w:r>
        <w:rPr>
          <w:rFonts w:hint="eastAsia" w:ascii="仿宋" w:hAnsi="仿宋" w:eastAsia="仿宋" w:cs="仿宋"/>
          <w:b w:val="0"/>
          <w:bCs w:val="0"/>
          <w:color w:val="000000"/>
          <w:sz w:val="32"/>
          <w:szCs w:val="32"/>
          <w:highlight w:val="none"/>
          <w:lang w:val="en-US" w:eastAsia="zh-CN"/>
        </w:rPr>
        <w:t>10.1响应文件</w:t>
      </w:r>
      <w:r>
        <w:rPr>
          <w:rFonts w:hint="eastAsia" w:ascii="仿宋" w:hAnsi="仿宋" w:eastAsia="仿宋" w:cs="仿宋"/>
          <w:b w:val="0"/>
          <w:bCs w:val="0"/>
          <w:color w:val="000000"/>
          <w:sz w:val="32"/>
          <w:szCs w:val="32"/>
          <w:highlight w:val="none"/>
        </w:rPr>
        <w:t>纸质文件贰份</w:t>
      </w:r>
      <w:r>
        <w:rPr>
          <w:rFonts w:hint="eastAsia" w:ascii="仿宋" w:hAnsi="仿宋" w:eastAsia="仿宋" w:cs="仿宋"/>
          <w:b/>
          <w:bCs/>
          <w:color w:val="000000"/>
          <w:sz w:val="32"/>
          <w:szCs w:val="32"/>
          <w:highlight w:val="none"/>
        </w:rPr>
        <w:t>（正本壹份，副本壹份）</w:t>
      </w:r>
      <w:r>
        <w:rPr>
          <w:rFonts w:hint="eastAsia" w:ascii="仿宋" w:hAnsi="仿宋" w:eastAsia="仿宋" w:cs="仿宋"/>
          <w:b w:val="0"/>
          <w:bCs w:val="0"/>
          <w:color w:val="000000"/>
          <w:sz w:val="32"/>
          <w:szCs w:val="32"/>
          <w:highlight w:val="none"/>
        </w:rPr>
        <w:t>。</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10</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val="en-US" w:eastAsia="zh-CN"/>
        </w:rPr>
        <w:t>2</w:t>
      </w:r>
      <w:r>
        <w:rPr>
          <w:rFonts w:hint="eastAsia" w:ascii="仿宋" w:hAnsi="仿宋" w:eastAsia="仿宋" w:cs="仿宋"/>
          <w:color w:val="000000"/>
          <w:sz w:val="32"/>
          <w:szCs w:val="32"/>
          <w:highlight w:val="none"/>
        </w:rPr>
        <w:t>响应文件上要注明“正本”或“副本”字样。如正、副本之间有差异，以正本为准。</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11</w:t>
      </w:r>
      <w:r>
        <w:rPr>
          <w:rFonts w:hint="eastAsia" w:ascii="仿宋" w:hAnsi="仿宋" w:eastAsia="仿宋" w:cs="仿宋"/>
          <w:color w:val="000000"/>
          <w:sz w:val="32"/>
          <w:szCs w:val="32"/>
          <w:highlight w:val="none"/>
        </w:rPr>
        <w:t>.响应文件的包封</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11</w:t>
      </w:r>
      <w:r>
        <w:rPr>
          <w:rFonts w:hint="eastAsia" w:ascii="仿宋" w:hAnsi="仿宋" w:eastAsia="仿宋" w:cs="仿宋"/>
          <w:color w:val="000000"/>
          <w:sz w:val="32"/>
          <w:szCs w:val="32"/>
          <w:highlight w:val="none"/>
        </w:rPr>
        <w:t xml:space="preserve">.1 </w:t>
      </w:r>
      <w:r>
        <w:rPr>
          <w:rFonts w:hint="eastAsia" w:ascii="仿宋" w:hAnsi="仿宋" w:eastAsia="仿宋" w:cs="仿宋"/>
          <w:b/>
          <w:bCs/>
          <w:color w:val="000000"/>
          <w:sz w:val="32"/>
          <w:szCs w:val="32"/>
          <w:highlight w:val="none"/>
        </w:rPr>
        <w:t>响应文件须胶装，不能使用活页装订</w:t>
      </w:r>
      <w:r>
        <w:rPr>
          <w:rFonts w:hint="eastAsia" w:ascii="仿宋" w:hAnsi="仿宋" w:eastAsia="仿宋" w:cs="仿宋"/>
          <w:color w:val="000000"/>
          <w:sz w:val="32"/>
          <w:szCs w:val="32"/>
          <w:highlight w:val="none"/>
        </w:rPr>
        <w:t>。</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11</w:t>
      </w:r>
      <w:r>
        <w:rPr>
          <w:rFonts w:hint="eastAsia" w:ascii="仿宋" w:hAnsi="仿宋" w:eastAsia="仿宋" w:cs="仿宋"/>
          <w:color w:val="000000"/>
          <w:sz w:val="32"/>
          <w:szCs w:val="32"/>
          <w:highlight w:val="none"/>
        </w:rPr>
        <w:t>.2</w:t>
      </w:r>
      <w:r>
        <w:rPr>
          <w:rFonts w:hint="eastAsia" w:ascii="仿宋" w:hAnsi="仿宋" w:eastAsia="仿宋" w:cs="仿宋"/>
          <w:color w:val="000000"/>
          <w:sz w:val="32"/>
          <w:szCs w:val="32"/>
          <w:highlight w:val="none"/>
          <w:lang w:val="en-US" w:eastAsia="zh-CN"/>
        </w:rPr>
        <w:t xml:space="preserve"> </w:t>
      </w:r>
      <w:r>
        <w:rPr>
          <w:rFonts w:hint="eastAsia" w:ascii="仿宋" w:hAnsi="仿宋" w:eastAsia="仿宋" w:cs="仿宋"/>
          <w:color w:val="000000"/>
          <w:sz w:val="32"/>
          <w:szCs w:val="32"/>
          <w:highlight w:val="none"/>
        </w:rPr>
        <w:t>参选人应将响应文件正本和副本统一用文件袋密封，骑缝处加盖公章。</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11</w:t>
      </w:r>
      <w:r>
        <w:rPr>
          <w:rFonts w:hint="eastAsia" w:ascii="仿宋" w:hAnsi="仿宋" w:eastAsia="仿宋" w:cs="仿宋"/>
          <w:color w:val="000000"/>
          <w:sz w:val="32"/>
          <w:szCs w:val="32"/>
          <w:highlight w:val="none"/>
        </w:rPr>
        <w:t>.3</w:t>
      </w:r>
      <w:r>
        <w:rPr>
          <w:rFonts w:hint="eastAsia" w:ascii="仿宋" w:hAnsi="仿宋" w:eastAsia="仿宋" w:cs="仿宋"/>
          <w:color w:val="000000"/>
          <w:sz w:val="32"/>
          <w:szCs w:val="32"/>
          <w:highlight w:val="none"/>
          <w:lang w:val="en-US" w:eastAsia="zh-CN"/>
        </w:rPr>
        <w:t xml:space="preserve"> </w:t>
      </w:r>
      <w:r>
        <w:rPr>
          <w:rFonts w:hint="eastAsia" w:ascii="仿宋" w:hAnsi="仿宋" w:eastAsia="仿宋" w:cs="仿宋"/>
          <w:color w:val="000000"/>
          <w:sz w:val="32"/>
          <w:szCs w:val="32"/>
          <w:highlight w:val="none"/>
        </w:rPr>
        <w:t>未按上述规定进行密封和标记的，采购人有权拒绝接收该响应文件。</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12</w:t>
      </w:r>
      <w:r>
        <w:rPr>
          <w:rFonts w:hint="eastAsia" w:ascii="仿宋" w:hAnsi="仿宋" w:eastAsia="仿宋" w:cs="仿宋"/>
          <w:color w:val="000000"/>
          <w:sz w:val="32"/>
          <w:szCs w:val="32"/>
          <w:highlight w:val="none"/>
        </w:rPr>
        <w:t>．递交响应文件</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12</w:t>
      </w:r>
      <w:r>
        <w:rPr>
          <w:rFonts w:hint="eastAsia" w:ascii="仿宋" w:hAnsi="仿宋" w:eastAsia="仿宋" w:cs="仿宋"/>
          <w:color w:val="000000"/>
          <w:sz w:val="32"/>
          <w:szCs w:val="32"/>
          <w:highlight w:val="none"/>
        </w:rPr>
        <w:t>.1 所有响应文件都必须按比选文件中规定的截止时间之前送至指定地点。</w:t>
      </w:r>
    </w:p>
    <w:p>
      <w:pPr>
        <w:pStyle w:val="9"/>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12</w:t>
      </w:r>
      <w:r>
        <w:rPr>
          <w:rFonts w:hint="eastAsia" w:ascii="仿宋" w:hAnsi="仿宋" w:eastAsia="仿宋" w:cs="仿宋"/>
          <w:color w:val="000000"/>
          <w:sz w:val="32"/>
          <w:szCs w:val="32"/>
          <w:highlight w:val="none"/>
        </w:rPr>
        <w:t>.2 当采购人推迟投标截止时间时，则按采购人修改的时间递交。</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0"/>
        <w:rPr>
          <w:rFonts w:hint="eastAsia"/>
          <w:highlight w:val="none"/>
          <w:lang w:val="en-US" w:eastAsia="zh-CN"/>
        </w:rPr>
      </w:pPr>
      <w:r>
        <w:rPr>
          <w:rFonts w:hint="eastAsia" w:ascii="仿宋" w:hAnsi="仿宋" w:eastAsia="仿宋" w:cs="仿宋"/>
          <w:color w:val="000000"/>
          <w:sz w:val="32"/>
          <w:szCs w:val="32"/>
          <w:highlight w:val="none"/>
          <w:lang w:val="en-US" w:eastAsia="zh-CN"/>
        </w:rPr>
        <w:t>12</w:t>
      </w:r>
      <w:r>
        <w:rPr>
          <w:rFonts w:hint="eastAsia" w:ascii="仿宋" w:hAnsi="仿宋" w:eastAsia="仿宋" w:cs="仿宋"/>
          <w:color w:val="000000"/>
          <w:sz w:val="32"/>
          <w:szCs w:val="32"/>
          <w:highlight w:val="none"/>
        </w:rPr>
        <w:t>.3 采购人有权拒绝在比选截止时间后提交的响应文件。</w:t>
      </w:r>
    </w:p>
    <w:p>
      <w:pPr>
        <w:pStyle w:val="3"/>
        <w:keepNext w:val="0"/>
        <w:keepLines w:val="0"/>
        <w:pageBreakBefore w:val="0"/>
        <w:widowControl w:val="0"/>
        <w:kinsoku/>
        <w:wordWrap/>
        <w:overflowPunct/>
        <w:topLinePunct w:val="0"/>
        <w:autoSpaceDE/>
        <w:autoSpaceDN/>
        <w:bidi w:val="0"/>
        <w:spacing w:before="220" w:line="540" w:lineRule="exact"/>
        <w:jc w:val="center"/>
        <w:textAlignment w:val="auto"/>
        <w:rPr>
          <w:rFonts w:hint="eastAsia" w:ascii="仿宋" w:hAnsi="仿宋" w:eastAsia="仿宋" w:cs="仿宋"/>
          <w:b/>
          <w:bCs/>
          <w:sz w:val="32"/>
          <w:szCs w:val="32"/>
          <w:highlight w:val="none"/>
          <w:lang w:val="en-US" w:eastAsia="zh-CN"/>
        </w:rPr>
      </w:pPr>
      <w:bookmarkStart w:id="24" w:name="_Toc5508"/>
      <w:r>
        <w:rPr>
          <w:rFonts w:hint="eastAsia" w:ascii="黑体" w:hAnsi="黑体" w:eastAsia="黑体" w:cs="黑体"/>
          <w:b w:val="0"/>
          <w:bCs/>
          <w:sz w:val="32"/>
          <w:szCs w:val="32"/>
          <w:highlight w:val="none"/>
        </w:rPr>
        <w:t xml:space="preserve">第三章 </w:t>
      </w:r>
      <w:bookmarkEnd w:id="24"/>
      <w:r>
        <w:rPr>
          <w:rFonts w:hint="eastAsia" w:eastAsia="黑体" w:cs="黑体"/>
          <w:b w:val="0"/>
          <w:bCs/>
          <w:sz w:val="32"/>
          <w:szCs w:val="32"/>
          <w:highlight w:val="none"/>
          <w:lang w:val="en-US" w:eastAsia="zh-CN"/>
        </w:rPr>
        <w:t xml:space="preserve"> </w:t>
      </w:r>
      <w:r>
        <w:rPr>
          <w:rFonts w:hint="eastAsia" w:ascii="黑体" w:hAnsi="黑体" w:eastAsia="黑体" w:cs="黑体"/>
          <w:b w:val="0"/>
          <w:bCs/>
          <w:kern w:val="0"/>
          <w:sz w:val="32"/>
          <w:szCs w:val="32"/>
          <w:highlight w:val="none"/>
        </w:rPr>
        <w:t>评审办法及评分标准</w:t>
      </w:r>
    </w:p>
    <w:p>
      <w:pPr>
        <w:pStyle w:val="4"/>
        <w:pageBreakBefore w:val="0"/>
        <w:widowControl w:val="0"/>
        <w:kinsoku/>
        <w:wordWrap/>
        <w:overflowPunct/>
        <w:topLinePunct w:val="0"/>
        <w:autoSpaceDE/>
        <w:autoSpaceDN/>
        <w:bidi w:val="0"/>
        <w:spacing w:line="540" w:lineRule="exact"/>
        <w:textAlignment w:val="auto"/>
        <w:rPr>
          <w:rFonts w:hint="eastAsia" w:ascii="黑体" w:hAnsi="黑体" w:eastAsia="黑体" w:cs="黑体"/>
          <w:b w:val="0"/>
          <w:bCs w:val="0"/>
          <w:color w:val="000000"/>
          <w:sz w:val="32"/>
          <w:szCs w:val="40"/>
          <w:highlight w:val="none"/>
          <w:lang w:val="en-US" w:eastAsia="zh-CN"/>
        </w:rPr>
      </w:pPr>
      <w:r>
        <w:rPr>
          <w:rFonts w:hint="eastAsia" w:ascii="黑体" w:hAnsi="黑体" w:eastAsia="黑体" w:cs="黑体"/>
          <w:b w:val="0"/>
          <w:bCs w:val="0"/>
          <w:color w:val="000000"/>
          <w:sz w:val="32"/>
          <w:szCs w:val="40"/>
          <w:highlight w:val="none"/>
          <w:lang w:val="en-US" w:eastAsia="zh-CN"/>
        </w:rPr>
        <w:t>第一节 评审办法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1.本项目采用</w:t>
      </w:r>
      <w:r>
        <w:rPr>
          <w:rFonts w:hint="eastAsia" w:ascii="仿宋" w:hAnsi="仿宋" w:eastAsia="仿宋" w:cs="仿宋"/>
          <w:b w:val="0"/>
          <w:bCs w:val="0"/>
          <w:sz w:val="32"/>
          <w:szCs w:val="32"/>
          <w:highlight w:val="none"/>
          <w:u w:val="single"/>
          <w:lang w:val="en-US" w:eastAsia="zh-CN"/>
        </w:rPr>
        <w:t xml:space="preserve">  </w:t>
      </w:r>
      <w:r>
        <w:rPr>
          <w:rFonts w:hint="eastAsia" w:ascii="仿宋" w:hAnsi="仿宋" w:eastAsia="仿宋" w:cs="仿宋"/>
          <w:b/>
          <w:bCs/>
          <w:sz w:val="32"/>
          <w:szCs w:val="32"/>
          <w:highlight w:val="none"/>
          <w:u w:val="single"/>
          <w:lang w:val="en-US" w:eastAsia="zh-CN"/>
        </w:rPr>
        <w:t>综合评分法</w:t>
      </w:r>
      <w:r>
        <w:rPr>
          <w:rFonts w:hint="eastAsia" w:ascii="仿宋" w:hAnsi="仿宋" w:eastAsia="仿宋" w:cs="仿宋"/>
          <w:b w:val="0"/>
          <w:bCs w:val="0"/>
          <w:sz w:val="32"/>
          <w:szCs w:val="32"/>
          <w:highlight w:val="none"/>
          <w:u w:val="single"/>
          <w:lang w:val="en-US" w:eastAsia="zh-CN"/>
        </w:rPr>
        <w:t xml:space="preserve">  </w:t>
      </w:r>
      <w:r>
        <w:rPr>
          <w:rFonts w:hint="eastAsia" w:ascii="仿宋" w:hAnsi="仿宋" w:eastAsia="仿宋" w:cs="仿宋"/>
          <w:b w:val="0"/>
          <w:bCs w:val="0"/>
          <w:sz w:val="32"/>
          <w:szCs w:val="32"/>
          <w:highlight w:val="none"/>
          <w:lang w:val="en-US" w:eastAsia="zh-CN"/>
        </w:rPr>
        <w:t>进行评审。</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综合评分法，是指在满足比选文件实质性要求的前提下，评审专家按照比选文件中规定的各项评审因素及其分值进行综合评分，每家参选单位最终得分为所有评审专家评分的平均数（保留小数点后两位），按各家参选单位最终得分依次排序，选取评分最高的参选单位作为本次服务供应商。</w:t>
      </w:r>
    </w:p>
    <w:p>
      <w:pPr>
        <w:keepNext w:val="0"/>
        <w:keepLines w:val="0"/>
        <w:pageBreakBefore w:val="0"/>
        <w:widowControl w:val="0"/>
        <w:shd w:val="clear" w:color="auto" w:fill="auto"/>
        <w:kinsoku/>
        <w:wordWrap/>
        <w:overflowPunct/>
        <w:topLinePunct w:val="0"/>
        <w:bidi w:val="0"/>
        <w:spacing w:line="540" w:lineRule="exact"/>
        <w:ind w:right="0" w:rightChars="0"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2.评审小组的组成：由采购人组织机构的工程管理中心、财务资金中心、综合办公室、安全技术部、资产与物资管理部组成评审小组。</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3、监督机构:采购人组织机构的审计风控部。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val="0"/>
          <w:bCs w:val="0"/>
          <w:sz w:val="32"/>
          <w:szCs w:val="32"/>
          <w:highlight w:val="none"/>
          <w:lang w:val="en-US" w:eastAsia="zh-CN"/>
        </w:rPr>
        <w:t>4、评标原则：公平、公正、公开和择优原则。</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 w:hAnsi="仿宋" w:eastAsia="仿宋" w:cs="仿宋"/>
          <w:b/>
          <w:bCs/>
          <w:sz w:val="32"/>
          <w:szCs w:val="32"/>
          <w:highlight w:val="none"/>
          <w:lang w:val="en-US" w:eastAsia="zh-CN"/>
        </w:rPr>
      </w:pPr>
    </w:p>
    <w:p>
      <w:pPr>
        <w:pStyle w:val="4"/>
        <w:pageBreakBefore w:val="0"/>
        <w:widowControl w:val="0"/>
        <w:kinsoku/>
        <w:wordWrap/>
        <w:overflowPunct/>
        <w:topLinePunct w:val="0"/>
        <w:autoSpaceDE/>
        <w:autoSpaceDN/>
        <w:bidi w:val="0"/>
        <w:spacing w:line="540" w:lineRule="exact"/>
        <w:textAlignment w:val="auto"/>
        <w:rPr>
          <w:rFonts w:hint="eastAsia" w:ascii="黑体" w:hAnsi="黑体" w:eastAsia="黑体" w:cs="黑体"/>
          <w:b w:val="0"/>
          <w:bCs w:val="0"/>
          <w:color w:val="000000"/>
          <w:sz w:val="32"/>
          <w:szCs w:val="40"/>
          <w:highlight w:val="none"/>
        </w:rPr>
      </w:pPr>
      <w:bookmarkStart w:id="25" w:name="_Toc9032812"/>
      <w:bookmarkStart w:id="26" w:name="_Toc523327946"/>
      <w:bookmarkStart w:id="27" w:name="_Toc406672391"/>
      <w:bookmarkStart w:id="28" w:name="_Toc406671098"/>
      <w:bookmarkStart w:id="29" w:name="_Toc406671686"/>
      <w:bookmarkStart w:id="30" w:name="_Toc13648903"/>
      <w:bookmarkStart w:id="31" w:name="_Toc523328536"/>
      <w:bookmarkStart w:id="32" w:name="_Toc406670727"/>
      <w:bookmarkStart w:id="33" w:name="_Toc424213019"/>
      <w:bookmarkStart w:id="34" w:name="_Toc523327784"/>
      <w:bookmarkStart w:id="35" w:name="_Toc523328220"/>
      <w:r>
        <w:rPr>
          <w:rFonts w:hint="eastAsia" w:ascii="黑体" w:hAnsi="黑体" w:eastAsia="黑体" w:cs="黑体"/>
          <w:b w:val="0"/>
          <w:bCs w:val="0"/>
          <w:color w:val="000000"/>
          <w:sz w:val="32"/>
          <w:szCs w:val="40"/>
          <w:highlight w:val="none"/>
        </w:rPr>
        <w:t>第二节 评分标准</w:t>
      </w:r>
      <w:bookmarkEnd w:id="25"/>
      <w:bookmarkEnd w:id="26"/>
      <w:bookmarkEnd w:id="27"/>
      <w:bookmarkEnd w:id="28"/>
      <w:bookmarkEnd w:id="29"/>
      <w:bookmarkEnd w:id="30"/>
      <w:bookmarkEnd w:id="31"/>
      <w:bookmarkEnd w:id="32"/>
      <w:bookmarkEnd w:id="33"/>
      <w:bookmarkEnd w:id="34"/>
      <w:bookmarkEnd w:id="35"/>
    </w:p>
    <w:p>
      <w:pPr>
        <w:pageBreakBefore w:val="0"/>
        <w:widowControl w:val="0"/>
        <w:kinsoku/>
        <w:wordWrap/>
        <w:overflowPunct/>
        <w:topLinePunct w:val="0"/>
        <w:autoSpaceDE/>
        <w:autoSpaceDN/>
        <w:bidi w:val="0"/>
        <w:spacing w:beforeLines="50" w:afterLines="50" w:line="540" w:lineRule="exact"/>
        <w:ind w:firstLine="640" w:firstLineChars="200"/>
        <w:textAlignment w:val="auto"/>
        <w:rPr>
          <w:rFonts w:hint="eastAsia" w:ascii="黑体" w:hAnsi="黑体" w:eastAsia="黑体" w:cs="黑体"/>
          <w:color w:val="000000"/>
          <w:sz w:val="32"/>
          <w:szCs w:val="32"/>
          <w:highlight w:val="none"/>
        </w:rPr>
      </w:pPr>
      <w:r>
        <w:rPr>
          <w:rFonts w:hint="eastAsia" w:ascii="黑体" w:hAnsi="黑体" w:eastAsia="黑体" w:cs="黑体"/>
          <w:color w:val="000000"/>
          <w:sz w:val="32"/>
          <w:szCs w:val="32"/>
          <w:highlight w:val="none"/>
        </w:rPr>
        <w:t>一、评分因素</w:t>
      </w:r>
    </w:p>
    <w:p>
      <w:pPr>
        <w:pageBreakBefore w:val="0"/>
        <w:widowControl w:val="0"/>
        <w:kinsoku/>
        <w:wordWrap/>
        <w:overflowPunct/>
        <w:topLinePunct w:val="0"/>
        <w:autoSpaceDE/>
        <w:autoSpaceDN/>
        <w:bidi w:val="0"/>
        <w:spacing w:beforeLines="100" w:afterLines="50" w:line="54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评分因素详见评分表。评审分值保留至两位小数。评审时，评审专家依照评分表对每个有效参选人的响应文件进行独立评审、打分。</w:t>
      </w:r>
    </w:p>
    <w:p>
      <w:pPr>
        <w:pStyle w:val="2"/>
        <w:numPr>
          <w:ilvl w:val="-1"/>
          <w:numId w:val="0"/>
        </w:numPr>
        <w:ind w:firstLine="640" w:firstLineChars="200"/>
        <w:jc w:val="both"/>
        <w:rPr>
          <w:rFonts w:hint="eastAsia" w:ascii="黑体" w:hAnsi="黑体" w:eastAsia="黑体" w:cs="黑体"/>
          <w:b w:val="0"/>
          <w:bCs/>
          <w:color w:val="000000"/>
          <w:sz w:val="32"/>
          <w:szCs w:val="32"/>
          <w:highlight w:val="none"/>
        </w:rPr>
      </w:pPr>
      <w:r>
        <w:rPr>
          <w:rFonts w:hint="eastAsia" w:ascii="黑体" w:hAnsi="黑体" w:eastAsia="黑体" w:cs="黑体"/>
          <w:b w:val="0"/>
          <w:bCs/>
          <w:color w:val="000000"/>
          <w:sz w:val="32"/>
          <w:szCs w:val="32"/>
          <w:highlight w:val="none"/>
          <w:lang w:val="en-US" w:eastAsia="zh-CN"/>
        </w:rPr>
        <w:t>二、</w:t>
      </w:r>
      <w:r>
        <w:rPr>
          <w:rFonts w:hint="eastAsia" w:ascii="黑体" w:hAnsi="黑体" w:eastAsia="黑体" w:cs="黑体"/>
          <w:b w:val="0"/>
          <w:bCs/>
          <w:color w:val="000000"/>
          <w:sz w:val="32"/>
          <w:szCs w:val="32"/>
          <w:highlight w:val="none"/>
        </w:rPr>
        <w:t>评分标准</w:t>
      </w:r>
    </w:p>
    <w:p>
      <w:pPr>
        <w:keepNext w:val="0"/>
        <w:keepLines w:val="0"/>
        <w:pageBreakBefore w:val="0"/>
        <w:widowControl w:val="0"/>
        <w:kinsoku/>
        <w:wordWrap/>
        <w:overflowPunct/>
        <w:topLinePunct w:val="0"/>
        <w:autoSpaceDE/>
        <w:autoSpaceDN/>
        <w:bidi w:val="0"/>
        <w:adjustRightInd/>
        <w:snapToGrid w:val="0"/>
        <w:spacing w:line="540" w:lineRule="exact"/>
        <w:ind w:firstLine="0"/>
        <w:textAlignment w:val="auto"/>
        <w:rPr>
          <w:rFonts w:hint="eastAsia" w:ascii="仿宋" w:hAnsi="仿宋" w:eastAsia="仿宋" w:cs="仿宋"/>
          <w:color w:val="000000"/>
          <w:sz w:val="32"/>
          <w:szCs w:val="32"/>
          <w:highlight w:val="none"/>
        </w:rPr>
      </w:pPr>
      <w:r>
        <w:rPr>
          <w:rFonts w:hint="eastAsia" w:ascii="宋体" w:hAnsi="宋体" w:cs="宋体"/>
          <w:highlight w:val="none"/>
        </w:rPr>
        <w:t xml:space="preserve"> </w:t>
      </w:r>
      <w:r>
        <w:rPr>
          <w:rFonts w:hint="eastAsia" w:ascii="仿宋" w:hAnsi="仿宋" w:eastAsia="仿宋" w:cs="仿宋"/>
          <w:sz w:val="32"/>
          <w:szCs w:val="32"/>
          <w:highlight w:val="none"/>
        </w:rPr>
        <w:t xml:space="preserve">  </w:t>
      </w:r>
      <w:r>
        <w:rPr>
          <w:rFonts w:hint="eastAsia" w:ascii="仿宋" w:hAnsi="仿宋" w:eastAsia="仿宋" w:cs="仿宋"/>
          <w:color w:val="000000"/>
          <w:sz w:val="32"/>
          <w:szCs w:val="32"/>
          <w:highlight w:val="none"/>
          <w:lang w:val="en-US" w:eastAsia="zh-CN"/>
        </w:rPr>
        <w:t>评分</w:t>
      </w:r>
      <w:r>
        <w:rPr>
          <w:rFonts w:hint="eastAsia" w:ascii="仿宋" w:hAnsi="仿宋" w:eastAsia="仿宋" w:cs="仿宋"/>
          <w:color w:val="000000"/>
          <w:sz w:val="32"/>
          <w:szCs w:val="32"/>
          <w:highlight w:val="none"/>
        </w:rPr>
        <w:t>小组只对通过</w:t>
      </w:r>
      <w:r>
        <w:rPr>
          <w:rFonts w:hint="eastAsia" w:ascii="仿宋" w:hAnsi="仿宋" w:eastAsia="仿宋" w:cs="仿宋"/>
          <w:color w:val="000000"/>
          <w:sz w:val="32"/>
          <w:szCs w:val="32"/>
          <w:highlight w:val="none"/>
          <w:lang w:val="en-US" w:eastAsia="zh-CN"/>
        </w:rPr>
        <w:t>资格预审</w:t>
      </w:r>
      <w:r>
        <w:rPr>
          <w:rFonts w:hint="eastAsia" w:ascii="仿宋" w:hAnsi="仿宋" w:eastAsia="仿宋" w:cs="仿宋"/>
          <w:color w:val="000000"/>
          <w:sz w:val="32"/>
          <w:szCs w:val="32"/>
          <w:highlight w:val="none"/>
        </w:rPr>
        <w:t>的</w:t>
      </w:r>
      <w:r>
        <w:rPr>
          <w:rFonts w:hint="eastAsia" w:ascii="仿宋" w:hAnsi="仿宋" w:eastAsia="仿宋" w:cs="仿宋"/>
          <w:color w:val="000000"/>
          <w:sz w:val="32"/>
          <w:szCs w:val="32"/>
          <w:highlight w:val="none"/>
          <w:lang w:val="en-US" w:eastAsia="zh-CN"/>
        </w:rPr>
        <w:t>比选</w:t>
      </w:r>
      <w:r>
        <w:rPr>
          <w:rFonts w:hint="eastAsia" w:ascii="仿宋" w:hAnsi="仿宋" w:eastAsia="仿宋" w:cs="仿宋"/>
          <w:color w:val="000000"/>
          <w:sz w:val="32"/>
          <w:szCs w:val="32"/>
          <w:highlight w:val="none"/>
        </w:rPr>
        <w:t>响应文件进行综合评审打分。综合评分采用百分制，总分100分，评分标准如下：</w:t>
      </w:r>
    </w:p>
    <w:p>
      <w:pPr>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br w:type="page"/>
      </w:r>
    </w:p>
    <w:p>
      <w:pPr>
        <w:pStyle w:val="6"/>
        <w:jc w:val="center"/>
        <w:rPr>
          <w:rFonts w:hint="eastAsia" w:eastAsia="仿宋"/>
          <w:b/>
          <w:bCs/>
          <w:lang w:val="en-US" w:eastAsia="zh-CN"/>
        </w:rPr>
      </w:pPr>
      <w:r>
        <w:rPr>
          <w:rFonts w:hint="eastAsia" w:ascii="仿宋" w:hAnsi="仿宋" w:eastAsia="仿宋" w:cs="仿宋"/>
          <w:b/>
          <w:bCs/>
          <w:color w:val="000000"/>
          <w:sz w:val="32"/>
          <w:szCs w:val="32"/>
          <w:highlight w:val="none"/>
        </w:rPr>
        <w:t>评</w:t>
      </w:r>
      <w:r>
        <w:rPr>
          <w:rFonts w:hint="eastAsia" w:ascii="仿宋" w:hAnsi="仿宋" w:eastAsia="仿宋" w:cs="仿宋"/>
          <w:b/>
          <w:bCs/>
          <w:color w:val="000000"/>
          <w:sz w:val="32"/>
          <w:szCs w:val="32"/>
          <w:highlight w:val="none"/>
          <w:lang w:val="en-US" w:eastAsia="zh-CN"/>
        </w:rPr>
        <w:t xml:space="preserve"> </w:t>
      </w:r>
      <w:r>
        <w:rPr>
          <w:rFonts w:hint="eastAsia" w:ascii="仿宋" w:hAnsi="仿宋" w:eastAsia="仿宋" w:cs="仿宋"/>
          <w:b/>
          <w:bCs/>
          <w:color w:val="000000"/>
          <w:sz w:val="32"/>
          <w:szCs w:val="32"/>
          <w:highlight w:val="none"/>
        </w:rPr>
        <w:t>分</w:t>
      </w:r>
      <w:r>
        <w:rPr>
          <w:rFonts w:hint="eastAsia" w:ascii="仿宋" w:hAnsi="仿宋" w:eastAsia="仿宋" w:cs="仿宋"/>
          <w:b/>
          <w:bCs/>
          <w:color w:val="000000"/>
          <w:sz w:val="32"/>
          <w:szCs w:val="32"/>
          <w:highlight w:val="none"/>
          <w:lang w:val="en-US" w:eastAsia="zh-CN"/>
        </w:rPr>
        <w:t xml:space="preserve"> 表</w:t>
      </w:r>
    </w:p>
    <w:p>
      <w:pPr>
        <w:pStyle w:val="6"/>
        <w:keepNext w:val="0"/>
        <w:keepLines w:val="0"/>
        <w:pageBreakBefore w:val="0"/>
        <w:wordWrap/>
        <w:overflowPunct/>
        <w:topLinePunct w:val="0"/>
        <w:bidi w:val="0"/>
        <w:spacing w:line="240" w:lineRule="auto"/>
        <w:rPr>
          <w:rFonts w:hint="eastAsia"/>
          <w:highlight w:val="none"/>
        </w:rPr>
      </w:pPr>
    </w:p>
    <w:tbl>
      <w:tblPr>
        <w:tblStyle w:val="15"/>
        <w:tblW w:w="10169" w:type="dxa"/>
        <w:jc w:val="center"/>
        <w:tblLayout w:type="autofit"/>
        <w:tblCellMar>
          <w:top w:w="0" w:type="dxa"/>
          <w:left w:w="108" w:type="dxa"/>
          <w:bottom w:w="0" w:type="dxa"/>
          <w:right w:w="108" w:type="dxa"/>
        </w:tblCellMar>
      </w:tblPr>
      <w:tblGrid>
        <w:gridCol w:w="1043"/>
        <w:gridCol w:w="1931"/>
        <w:gridCol w:w="1068"/>
        <w:gridCol w:w="6127"/>
      </w:tblGrid>
      <w:tr>
        <w:tblPrEx>
          <w:tblCellMar>
            <w:top w:w="0" w:type="dxa"/>
            <w:left w:w="108" w:type="dxa"/>
            <w:bottom w:w="0" w:type="dxa"/>
            <w:right w:w="108" w:type="dxa"/>
          </w:tblCellMar>
        </w:tblPrEx>
        <w:trPr>
          <w:trHeight w:val="682" w:hRule="atLeast"/>
          <w:jc w:val="center"/>
        </w:trPr>
        <w:tc>
          <w:tcPr>
            <w:tcW w:w="29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eastAsia" w:ascii="仿宋" w:hAnsi="仿宋" w:eastAsia="仿宋" w:cs="仿宋"/>
                <w:b/>
                <w:bCs/>
                <w:sz w:val="24"/>
                <w:highlight w:val="none"/>
              </w:rPr>
            </w:pPr>
            <w:r>
              <w:rPr>
                <w:rFonts w:hint="eastAsia" w:ascii="仿宋" w:hAnsi="仿宋" w:eastAsia="仿宋" w:cs="仿宋"/>
                <w:b/>
                <w:bCs/>
                <w:sz w:val="24"/>
                <w:highlight w:val="none"/>
              </w:rPr>
              <w:t>评分项目</w:t>
            </w:r>
          </w:p>
        </w:tc>
        <w:tc>
          <w:tcPr>
            <w:tcW w:w="1068"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eastAsia" w:ascii="仿宋" w:hAnsi="仿宋" w:eastAsia="仿宋" w:cs="仿宋"/>
                <w:b/>
                <w:bCs/>
                <w:sz w:val="24"/>
                <w:highlight w:val="none"/>
              </w:rPr>
            </w:pPr>
            <w:r>
              <w:rPr>
                <w:rFonts w:hint="eastAsia" w:ascii="仿宋" w:hAnsi="仿宋" w:eastAsia="仿宋" w:cs="仿宋"/>
                <w:b/>
                <w:bCs/>
                <w:sz w:val="24"/>
                <w:highlight w:val="none"/>
              </w:rPr>
              <w:t>分值</w:t>
            </w:r>
          </w:p>
        </w:tc>
        <w:tc>
          <w:tcPr>
            <w:tcW w:w="6127"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eastAsia" w:ascii="仿宋" w:hAnsi="仿宋" w:eastAsia="仿宋" w:cs="仿宋"/>
                <w:b/>
                <w:bCs/>
                <w:sz w:val="24"/>
                <w:highlight w:val="none"/>
              </w:rPr>
            </w:pPr>
            <w:r>
              <w:rPr>
                <w:rFonts w:hint="eastAsia" w:ascii="仿宋" w:hAnsi="仿宋" w:eastAsia="仿宋" w:cs="仿宋"/>
                <w:b/>
                <w:bCs/>
                <w:sz w:val="24"/>
                <w:highlight w:val="none"/>
              </w:rPr>
              <w:t>评分标准</w:t>
            </w:r>
          </w:p>
        </w:tc>
      </w:tr>
      <w:tr>
        <w:tblPrEx>
          <w:tblCellMar>
            <w:top w:w="0" w:type="dxa"/>
            <w:left w:w="108" w:type="dxa"/>
            <w:bottom w:w="0" w:type="dxa"/>
            <w:right w:w="108" w:type="dxa"/>
          </w:tblCellMar>
        </w:tblPrEx>
        <w:trPr>
          <w:trHeight w:val="1516" w:hRule="atLeast"/>
          <w:jc w:val="center"/>
        </w:trPr>
        <w:tc>
          <w:tcPr>
            <w:tcW w:w="29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报价评分</w:t>
            </w:r>
          </w:p>
        </w:tc>
        <w:tc>
          <w:tcPr>
            <w:tcW w:w="1068"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60分</w:t>
            </w:r>
          </w:p>
        </w:tc>
        <w:tc>
          <w:tcPr>
            <w:tcW w:w="61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各</w:t>
            </w:r>
            <w:r>
              <w:rPr>
                <w:rFonts w:hint="eastAsia" w:ascii="仿宋" w:hAnsi="仿宋" w:eastAsia="仿宋" w:cs="仿宋"/>
                <w:sz w:val="24"/>
                <w:highlight w:val="none"/>
                <w:lang w:eastAsia="zh-CN"/>
              </w:rPr>
              <w:t>参选</w:t>
            </w:r>
            <w:r>
              <w:rPr>
                <w:rFonts w:hint="eastAsia" w:ascii="仿宋" w:hAnsi="仿宋" w:eastAsia="仿宋" w:cs="仿宋"/>
                <w:sz w:val="24"/>
                <w:highlight w:val="none"/>
              </w:rPr>
              <w:t>供应商有效的</w:t>
            </w:r>
            <w:r>
              <w:rPr>
                <w:rFonts w:hint="eastAsia" w:ascii="仿宋" w:hAnsi="仿宋" w:eastAsia="仿宋" w:cs="仿宋"/>
                <w:sz w:val="24"/>
                <w:highlight w:val="none"/>
                <w:lang w:eastAsia="zh-CN"/>
              </w:rPr>
              <w:t>参选</w:t>
            </w:r>
            <w:r>
              <w:rPr>
                <w:rFonts w:hint="eastAsia" w:ascii="仿宋" w:hAnsi="仿宋" w:eastAsia="仿宋" w:cs="仿宋"/>
                <w:sz w:val="24"/>
                <w:highlight w:val="none"/>
              </w:rPr>
              <w:t>总价报价中最低价为评标基准价，按照下列公式计算每个</w:t>
            </w:r>
            <w:r>
              <w:rPr>
                <w:rFonts w:hint="eastAsia" w:ascii="仿宋" w:hAnsi="仿宋" w:eastAsia="仿宋" w:cs="仿宋"/>
                <w:sz w:val="24"/>
                <w:highlight w:val="none"/>
                <w:lang w:eastAsia="zh-CN"/>
              </w:rPr>
              <w:t>参选</w:t>
            </w:r>
            <w:r>
              <w:rPr>
                <w:rFonts w:hint="eastAsia" w:ascii="仿宋" w:hAnsi="仿宋" w:eastAsia="仿宋" w:cs="仿宋"/>
                <w:sz w:val="24"/>
                <w:highlight w:val="none"/>
              </w:rPr>
              <w:t>供应商的</w:t>
            </w:r>
            <w:r>
              <w:rPr>
                <w:rFonts w:hint="eastAsia" w:ascii="仿宋" w:hAnsi="仿宋" w:eastAsia="仿宋" w:cs="仿宋"/>
                <w:sz w:val="24"/>
                <w:highlight w:val="none"/>
                <w:lang w:eastAsia="zh-CN"/>
              </w:rPr>
              <w:t>参选</w:t>
            </w:r>
            <w:r>
              <w:rPr>
                <w:rFonts w:hint="eastAsia" w:ascii="仿宋" w:hAnsi="仿宋" w:eastAsia="仿宋" w:cs="仿宋"/>
                <w:sz w:val="24"/>
                <w:highlight w:val="none"/>
              </w:rPr>
              <w:t>价格得分。</w:t>
            </w:r>
          </w:p>
          <w:p>
            <w:pPr>
              <w:keepNext w:val="0"/>
              <w:keepLines w:val="0"/>
              <w:pageBreakBefore w:val="0"/>
              <w:widowControl w:val="0"/>
              <w:kinsoku/>
              <w:wordWrap/>
              <w:overflowPunct/>
              <w:topLinePunct w:val="0"/>
              <w:autoSpaceDE/>
              <w:autoSpaceDN/>
              <w:bidi w:val="0"/>
              <w:adjustRightInd/>
              <w:snapToGrid w:val="0"/>
              <w:spacing w:line="240" w:lineRule="auto"/>
              <w:ind w:firstLine="482"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b/>
                <w:bCs/>
                <w:sz w:val="24"/>
                <w:highlight w:val="none"/>
                <w:lang w:eastAsia="zh-CN"/>
              </w:rPr>
              <w:t>参选</w:t>
            </w:r>
            <w:r>
              <w:rPr>
                <w:rFonts w:hint="eastAsia" w:ascii="仿宋" w:hAnsi="仿宋" w:eastAsia="仿宋" w:cs="仿宋"/>
                <w:b/>
                <w:bCs/>
                <w:sz w:val="24"/>
                <w:highlight w:val="none"/>
              </w:rPr>
              <w:t>报价总价得分＝评标基准价/最终报价×</w:t>
            </w:r>
            <w:r>
              <w:rPr>
                <w:rFonts w:hint="eastAsia" w:ascii="仿宋" w:hAnsi="仿宋" w:eastAsia="仿宋" w:cs="仿宋"/>
                <w:b/>
                <w:bCs/>
                <w:sz w:val="24"/>
                <w:highlight w:val="none"/>
                <w:lang w:val="en-US" w:eastAsia="zh-CN"/>
              </w:rPr>
              <w:t>60</w:t>
            </w:r>
          </w:p>
        </w:tc>
      </w:tr>
      <w:tr>
        <w:tblPrEx>
          <w:tblCellMar>
            <w:top w:w="0" w:type="dxa"/>
            <w:left w:w="108" w:type="dxa"/>
            <w:bottom w:w="0" w:type="dxa"/>
            <w:right w:w="108" w:type="dxa"/>
          </w:tblCellMar>
        </w:tblPrEx>
        <w:trPr>
          <w:trHeight w:val="2312" w:hRule="atLeast"/>
          <w:jc w:val="center"/>
        </w:trPr>
        <w:tc>
          <w:tcPr>
            <w:tcW w:w="104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供货实施方案</w:t>
            </w:r>
          </w:p>
        </w:tc>
        <w:tc>
          <w:tcPr>
            <w:tcW w:w="1931"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供货</w:t>
            </w:r>
            <w:r>
              <w:rPr>
                <w:rFonts w:hint="eastAsia" w:ascii="仿宋" w:hAnsi="仿宋" w:eastAsia="仿宋" w:cs="仿宋"/>
                <w:sz w:val="24"/>
                <w:highlight w:val="none"/>
              </w:rPr>
              <w:t>方案</w:t>
            </w:r>
          </w:p>
        </w:tc>
        <w:tc>
          <w:tcPr>
            <w:tcW w:w="1068"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5分</w:t>
            </w:r>
          </w:p>
        </w:tc>
        <w:tc>
          <w:tcPr>
            <w:tcW w:w="6127" w:type="dxa"/>
            <w:tcBorders>
              <w:top w:val="single" w:color="auto" w:sz="4" w:space="0"/>
              <w:left w:val="nil"/>
              <w:bottom w:val="single" w:color="auto" w:sz="4" w:space="0"/>
              <w:right w:val="single" w:color="auto" w:sz="4" w:space="0"/>
            </w:tcBorders>
            <w:noWrap w:val="0"/>
            <w:vAlign w:val="center"/>
          </w:tcPr>
          <w:p>
            <w:pPr>
              <w:pStyle w:val="5"/>
              <w:keepNext w:val="0"/>
              <w:keepLines w:val="0"/>
              <w:pageBreakBefore w:val="0"/>
              <w:wordWrap/>
              <w:overflowPunct/>
              <w:topLinePunct w:val="0"/>
              <w:bidi w:val="0"/>
              <w:spacing w:line="240" w:lineRule="auto"/>
              <w:ind w:firstLine="0"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供应商提供的供货方案可行性、完整性、服务保障措施，质保期内外的后续技术支持和维护能力情况等进行综合评价：内容包含人员配置、供货保障方案可行、有利于货物按时、保质、保量运抵交货地点完成安装。</w:t>
            </w:r>
          </w:p>
          <w:p>
            <w:pPr>
              <w:pStyle w:val="5"/>
              <w:keepNext w:val="0"/>
              <w:keepLines w:val="0"/>
              <w:pageBreakBefore w:val="0"/>
              <w:wordWrap/>
              <w:overflowPunct/>
              <w:topLinePunct w:val="0"/>
              <w:bidi w:val="0"/>
              <w:spacing w:line="240" w:lineRule="auto"/>
              <w:ind w:firstLine="0"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优：5-3分；良：3-2分；一般：2-0.1分；未提供不得分。</w:t>
            </w:r>
          </w:p>
        </w:tc>
      </w:tr>
      <w:tr>
        <w:tblPrEx>
          <w:tblCellMar>
            <w:top w:w="0" w:type="dxa"/>
            <w:left w:w="108" w:type="dxa"/>
            <w:bottom w:w="0" w:type="dxa"/>
            <w:right w:w="108" w:type="dxa"/>
          </w:tblCellMar>
        </w:tblPrEx>
        <w:trPr>
          <w:trHeight w:val="2384" w:hRule="atLeast"/>
          <w:jc w:val="center"/>
        </w:trPr>
        <w:tc>
          <w:tcPr>
            <w:tcW w:w="104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both"/>
              <w:rPr>
                <w:rFonts w:hint="eastAsia" w:ascii="仿宋" w:hAnsi="仿宋" w:eastAsia="仿宋" w:cs="仿宋"/>
                <w:kern w:val="2"/>
                <w:sz w:val="24"/>
                <w:szCs w:val="24"/>
                <w:highlight w:val="none"/>
                <w:lang w:val="en-US" w:eastAsia="zh-CN" w:bidi="ar-SA"/>
              </w:rPr>
            </w:pPr>
          </w:p>
        </w:tc>
        <w:tc>
          <w:tcPr>
            <w:tcW w:w="1931"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售后服务方案</w:t>
            </w:r>
          </w:p>
        </w:tc>
        <w:tc>
          <w:tcPr>
            <w:tcW w:w="1068"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10分</w:t>
            </w:r>
          </w:p>
        </w:tc>
        <w:tc>
          <w:tcPr>
            <w:tcW w:w="61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根据供应商售后服务方案评分，售后服务方案可行、完善、合理、响应及时，保障措施全面。包含但不限于服务范围、服务人员、服务内容和服务响应时间、排除故障时间、备品备件等。</w:t>
            </w:r>
          </w:p>
          <w:p>
            <w:pPr>
              <w:pStyle w:val="5"/>
              <w:keepNext w:val="0"/>
              <w:keepLines w:val="0"/>
              <w:pageBreakBefore w:val="0"/>
              <w:wordWrap/>
              <w:overflowPunct/>
              <w:topLinePunct w:val="0"/>
              <w:bidi w:val="0"/>
              <w:spacing w:line="240" w:lineRule="auto"/>
              <w:ind w:firstLine="0" w:firstLineChars="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优：10-7分；良：7-3分；一般：3-0.1分；未提供不得分。</w:t>
            </w:r>
          </w:p>
        </w:tc>
      </w:tr>
      <w:tr>
        <w:tblPrEx>
          <w:tblCellMar>
            <w:top w:w="0" w:type="dxa"/>
            <w:left w:w="108" w:type="dxa"/>
            <w:bottom w:w="0" w:type="dxa"/>
            <w:right w:w="108" w:type="dxa"/>
          </w:tblCellMar>
        </w:tblPrEx>
        <w:trPr>
          <w:trHeight w:val="2433" w:hRule="atLeast"/>
          <w:jc w:val="center"/>
        </w:trPr>
        <w:tc>
          <w:tcPr>
            <w:tcW w:w="2974" w:type="dxa"/>
            <w:gridSpan w:val="2"/>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ordWrap/>
              <w:overflowPunct/>
              <w:topLinePunct w:val="0"/>
              <w:bidi w:val="0"/>
              <w:spacing w:after="0" w:afterAutospacing="0" w:line="240" w:lineRule="auto"/>
              <w:ind w:firstLine="28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类似</w:t>
            </w:r>
            <w:r>
              <w:rPr>
                <w:rFonts w:hint="eastAsia" w:ascii="仿宋" w:hAnsi="仿宋" w:eastAsia="仿宋" w:cs="仿宋"/>
                <w:kern w:val="2"/>
                <w:highlight w:val="none"/>
              </w:rPr>
              <w:t>业绩</w:t>
            </w:r>
          </w:p>
        </w:tc>
        <w:tc>
          <w:tcPr>
            <w:tcW w:w="106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ordWrap/>
              <w:overflowPunct/>
              <w:topLinePunct w:val="0"/>
              <w:bidi w:val="0"/>
              <w:spacing w:after="0" w:afterAutospacing="0" w:line="24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highlight w:val="none"/>
                <w:lang w:val="en-US" w:eastAsia="zh-CN"/>
              </w:rPr>
              <w:t>10</w:t>
            </w:r>
            <w:r>
              <w:rPr>
                <w:rFonts w:hint="eastAsia" w:ascii="仿宋" w:hAnsi="仿宋" w:eastAsia="仿宋" w:cs="仿宋"/>
                <w:sz w:val="24"/>
                <w:highlight w:val="none"/>
                <w:lang w:val="en-US" w:eastAsia="zh-CN"/>
              </w:rPr>
              <w:t>分</w:t>
            </w:r>
          </w:p>
        </w:tc>
        <w:tc>
          <w:tcPr>
            <w:tcW w:w="61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sz w:val="24"/>
                <w:highlight w:val="none"/>
              </w:rPr>
            </w:pPr>
            <w:r>
              <w:rPr>
                <w:rFonts w:hint="eastAsia" w:ascii="仿宋" w:hAnsi="仿宋" w:eastAsia="仿宋" w:cs="仿宋"/>
                <w:sz w:val="24"/>
                <w:highlight w:val="none"/>
              </w:rPr>
              <w:t>近</w:t>
            </w:r>
            <w:r>
              <w:rPr>
                <w:rFonts w:hint="eastAsia" w:ascii="仿宋" w:hAnsi="仿宋" w:eastAsia="仿宋" w:cs="仿宋"/>
                <w:sz w:val="24"/>
                <w:highlight w:val="none"/>
                <w:lang w:val="en-US" w:eastAsia="zh-CN"/>
              </w:rPr>
              <w:t>五</w:t>
            </w:r>
            <w:r>
              <w:rPr>
                <w:rFonts w:hint="eastAsia" w:ascii="仿宋" w:hAnsi="仿宋" w:eastAsia="仿宋" w:cs="仿宋"/>
                <w:sz w:val="24"/>
                <w:highlight w:val="none"/>
              </w:rPr>
              <w:t>年（指</w:t>
            </w:r>
            <w:r>
              <w:rPr>
                <w:rFonts w:hint="eastAsia" w:ascii="仿宋" w:hAnsi="仿宋" w:eastAsia="仿宋" w:cs="仿宋"/>
                <w:b/>
                <w:sz w:val="24"/>
                <w:highlight w:val="none"/>
                <w:u w:val="single"/>
              </w:rPr>
              <w:t>20</w:t>
            </w:r>
            <w:r>
              <w:rPr>
                <w:rFonts w:hint="eastAsia" w:ascii="仿宋" w:hAnsi="仿宋" w:eastAsia="仿宋" w:cs="仿宋"/>
                <w:b/>
                <w:sz w:val="24"/>
                <w:highlight w:val="none"/>
                <w:u w:val="single"/>
                <w:lang w:val="en-US" w:eastAsia="zh-CN"/>
              </w:rPr>
              <w:t>19</w:t>
            </w:r>
            <w:r>
              <w:rPr>
                <w:rFonts w:hint="eastAsia" w:ascii="仿宋" w:hAnsi="仿宋" w:eastAsia="仿宋" w:cs="仿宋"/>
                <w:sz w:val="24"/>
                <w:highlight w:val="none"/>
              </w:rPr>
              <w:t>年</w:t>
            </w:r>
            <w:r>
              <w:rPr>
                <w:rFonts w:hint="eastAsia" w:ascii="仿宋" w:hAnsi="仿宋" w:eastAsia="仿宋" w:cs="仿宋"/>
                <w:b/>
                <w:sz w:val="24"/>
                <w:highlight w:val="none"/>
                <w:u w:val="single"/>
              </w:rPr>
              <w:t>0</w:t>
            </w:r>
            <w:r>
              <w:rPr>
                <w:rFonts w:hint="eastAsia" w:ascii="仿宋" w:hAnsi="仿宋" w:eastAsia="仿宋" w:cs="仿宋"/>
                <w:b/>
                <w:sz w:val="24"/>
                <w:highlight w:val="none"/>
                <w:u w:val="single"/>
                <w:lang w:val="en-US" w:eastAsia="zh-CN"/>
              </w:rPr>
              <w:t>4</w:t>
            </w:r>
            <w:r>
              <w:rPr>
                <w:rFonts w:hint="eastAsia" w:ascii="仿宋" w:hAnsi="仿宋" w:eastAsia="仿宋" w:cs="仿宋"/>
                <w:sz w:val="24"/>
                <w:highlight w:val="none"/>
              </w:rPr>
              <w:t>月至</w:t>
            </w:r>
            <w:r>
              <w:rPr>
                <w:rFonts w:hint="eastAsia" w:ascii="仿宋" w:hAnsi="仿宋" w:eastAsia="仿宋" w:cs="仿宋"/>
                <w:b/>
                <w:sz w:val="24"/>
                <w:highlight w:val="none"/>
                <w:u w:val="single"/>
              </w:rPr>
              <w:t>202</w:t>
            </w:r>
            <w:r>
              <w:rPr>
                <w:rFonts w:hint="eastAsia" w:ascii="仿宋" w:hAnsi="仿宋" w:eastAsia="仿宋" w:cs="仿宋"/>
                <w:b/>
                <w:sz w:val="24"/>
                <w:highlight w:val="none"/>
                <w:u w:val="single"/>
                <w:lang w:val="en-US" w:eastAsia="zh-CN"/>
              </w:rPr>
              <w:t>4</w:t>
            </w:r>
            <w:r>
              <w:rPr>
                <w:rFonts w:hint="eastAsia" w:ascii="仿宋" w:hAnsi="仿宋" w:eastAsia="仿宋" w:cs="仿宋"/>
                <w:b/>
                <w:sz w:val="24"/>
                <w:highlight w:val="none"/>
              </w:rPr>
              <w:t>年</w:t>
            </w:r>
            <w:r>
              <w:rPr>
                <w:rFonts w:hint="eastAsia" w:ascii="仿宋" w:hAnsi="仿宋" w:eastAsia="仿宋" w:cs="仿宋"/>
                <w:b/>
                <w:sz w:val="24"/>
                <w:highlight w:val="none"/>
                <w:u w:val="single"/>
              </w:rPr>
              <w:t>0</w:t>
            </w:r>
            <w:r>
              <w:rPr>
                <w:rFonts w:hint="eastAsia" w:ascii="仿宋" w:hAnsi="仿宋" w:eastAsia="仿宋" w:cs="仿宋"/>
                <w:b/>
                <w:sz w:val="24"/>
                <w:highlight w:val="none"/>
                <w:u w:val="single"/>
                <w:lang w:val="en-US" w:eastAsia="zh-CN"/>
              </w:rPr>
              <w:t>4</w:t>
            </w:r>
            <w:r>
              <w:rPr>
                <w:rFonts w:hint="eastAsia" w:ascii="仿宋" w:hAnsi="仿宋" w:eastAsia="仿宋" w:cs="仿宋"/>
                <w:sz w:val="24"/>
                <w:highlight w:val="none"/>
              </w:rPr>
              <w:t>月止）</w:t>
            </w:r>
            <w:r>
              <w:rPr>
                <w:rFonts w:hint="eastAsia" w:ascii="仿宋" w:hAnsi="仿宋" w:eastAsia="仿宋" w:cs="仿宋"/>
                <w:color w:val="auto"/>
                <w:sz w:val="24"/>
                <w:highlight w:val="none"/>
              </w:rPr>
              <w:t>具有已完成的</w:t>
            </w:r>
            <w:r>
              <w:rPr>
                <w:rFonts w:hint="eastAsia" w:ascii="仿宋" w:hAnsi="仿宋" w:eastAsia="仿宋" w:cs="仿宋"/>
                <w:color w:val="auto"/>
                <w:sz w:val="24"/>
                <w:highlight w:val="none"/>
                <w:lang w:val="en-US" w:eastAsia="zh-CN"/>
              </w:rPr>
              <w:t>类似</w:t>
            </w:r>
            <w:r>
              <w:rPr>
                <w:rFonts w:hint="eastAsia" w:ascii="仿宋" w:hAnsi="仿宋" w:eastAsia="仿宋" w:cs="仿宋"/>
                <w:color w:val="auto"/>
                <w:sz w:val="24"/>
                <w:highlight w:val="none"/>
              </w:rPr>
              <w:t>业绩方可算作类似项目业绩</w:t>
            </w:r>
            <w:r>
              <w:rPr>
                <w:rFonts w:hint="eastAsia" w:ascii="仿宋" w:hAnsi="仿宋" w:eastAsia="仿宋" w:cs="仿宋"/>
                <w:sz w:val="24"/>
                <w:highlight w:val="none"/>
              </w:rPr>
              <w:t>。提供1个得</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分，每增加一个加</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分，最多得</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w:t>
            </w:r>
          </w:p>
          <w:p>
            <w:pPr>
              <w:keepNext w:val="0"/>
              <w:keepLines w:val="0"/>
              <w:pageBreakBefore w:val="0"/>
              <w:wordWrap/>
              <w:overflowPunct/>
              <w:topLinePunct w:val="0"/>
              <w:bidi w:val="0"/>
              <w:spacing w:line="240" w:lineRule="auto"/>
              <w:ind w:hanging="10"/>
              <w:rPr>
                <w:rFonts w:hint="eastAsia" w:ascii="仿宋" w:hAnsi="仿宋" w:eastAsia="仿宋" w:cs="仿宋"/>
                <w:sz w:val="24"/>
                <w:highlight w:val="none"/>
              </w:rPr>
            </w:pPr>
            <w:r>
              <w:rPr>
                <w:rFonts w:hint="eastAsia" w:ascii="仿宋" w:hAnsi="仿宋" w:eastAsia="仿宋" w:cs="仿宋"/>
                <w:sz w:val="24"/>
                <w:highlight w:val="none"/>
              </w:rPr>
              <w:t>注：</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证明材料须提供</w:t>
            </w:r>
            <w:r>
              <w:rPr>
                <w:rFonts w:hint="eastAsia" w:ascii="仿宋" w:hAnsi="仿宋" w:eastAsia="仿宋" w:cs="仿宋"/>
                <w:b/>
                <w:bCs/>
                <w:sz w:val="24"/>
                <w:highlight w:val="none"/>
                <w:lang w:eastAsia="zh-CN"/>
              </w:rPr>
              <w:t>中标通知书或</w:t>
            </w:r>
            <w:r>
              <w:rPr>
                <w:rFonts w:hint="eastAsia" w:ascii="仿宋" w:hAnsi="仿宋" w:eastAsia="仿宋" w:cs="仿宋"/>
                <w:b/>
                <w:bCs/>
                <w:sz w:val="24"/>
                <w:highlight w:val="none"/>
              </w:rPr>
              <w:t>合同（协议书）</w:t>
            </w:r>
            <w:r>
              <w:rPr>
                <w:rFonts w:hint="eastAsia" w:ascii="仿宋" w:hAnsi="仿宋" w:eastAsia="仿宋" w:cs="仿宋"/>
                <w:b/>
                <w:bCs/>
                <w:sz w:val="24"/>
                <w:highlight w:val="none"/>
                <w:lang w:eastAsia="zh-CN"/>
              </w:rPr>
              <w:t>或</w:t>
            </w:r>
            <w:r>
              <w:rPr>
                <w:rFonts w:hint="eastAsia" w:ascii="仿宋" w:hAnsi="仿宋" w:eastAsia="仿宋" w:cs="仿宋"/>
                <w:b/>
                <w:bCs/>
                <w:sz w:val="24"/>
                <w:highlight w:val="none"/>
              </w:rPr>
              <w:t>对应项目的发票</w:t>
            </w:r>
            <w:r>
              <w:rPr>
                <w:rFonts w:hint="eastAsia" w:ascii="仿宋" w:hAnsi="仿宋" w:eastAsia="仿宋" w:cs="仿宋"/>
                <w:sz w:val="24"/>
                <w:highlight w:val="none"/>
              </w:rPr>
              <w:t xml:space="preserve">扫描件或复印件加盖单位公章。  </w:t>
            </w:r>
          </w:p>
          <w:p>
            <w:pPr>
              <w:keepNext w:val="0"/>
              <w:keepLines w:val="0"/>
              <w:pageBreakBefore w:val="0"/>
              <w:wordWrap/>
              <w:overflowPunct/>
              <w:topLinePunct w:val="0"/>
              <w:bidi w:val="0"/>
              <w:spacing w:line="240" w:lineRule="auto"/>
              <w:ind w:left="239" w:leftChars="114" w:firstLine="228" w:firstLineChars="95"/>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业绩认定时间以合同签订时间为准。</w:t>
            </w:r>
          </w:p>
        </w:tc>
      </w:tr>
      <w:tr>
        <w:tblPrEx>
          <w:tblCellMar>
            <w:top w:w="0" w:type="dxa"/>
            <w:left w:w="108" w:type="dxa"/>
            <w:bottom w:w="0" w:type="dxa"/>
            <w:right w:w="108" w:type="dxa"/>
          </w:tblCellMar>
        </w:tblPrEx>
        <w:trPr>
          <w:trHeight w:val="1082" w:hRule="atLeast"/>
          <w:jc w:val="center"/>
        </w:trPr>
        <w:tc>
          <w:tcPr>
            <w:tcW w:w="29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安装人员配备</w:t>
            </w:r>
          </w:p>
        </w:tc>
        <w:tc>
          <w:tcPr>
            <w:tcW w:w="106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ordWrap/>
              <w:overflowPunct/>
              <w:topLinePunct w:val="0"/>
              <w:bidi w:val="0"/>
              <w:spacing w:after="0" w:afterAutospacing="0" w:line="240" w:lineRule="auto"/>
              <w:jc w:val="center"/>
              <w:rPr>
                <w:rFonts w:hint="default" w:ascii="仿宋" w:hAnsi="仿宋" w:eastAsia="仿宋" w:cs="仿宋"/>
                <w:kern w:val="2"/>
                <w:highlight w:val="none"/>
                <w:lang w:val="en-US" w:eastAsia="zh-CN"/>
              </w:rPr>
            </w:pPr>
            <w:r>
              <w:rPr>
                <w:rFonts w:hint="eastAsia" w:ascii="仿宋" w:hAnsi="仿宋" w:eastAsia="仿宋" w:cs="仿宋"/>
                <w:kern w:val="2"/>
                <w:highlight w:val="none"/>
                <w:lang w:val="en-US" w:eastAsia="zh-CN"/>
              </w:rPr>
              <w:t>10</w:t>
            </w:r>
            <w:r>
              <w:rPr>
                <w:rFonts w:hint="eastAsia" w:ascii="仿宋" w:hAnsi="仿宋" w:eastAsia="仿宋" w:cs="仿宋"/>
                <w:sz w:val="24"/>
                <w:highlight w:val="none"/>
                <w:lang w:val="en-US" w:eastAsia="zh-CN"/>
              </w:rPr>
              <w:t>分</w:t>
            </w:r>
          </w:p>
        </w:tc>
        <w:tc>
          <w:tcPr>
            <w:tcW w:w="6127"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line="240" w:lineRule="auto"/>
              <w:ind w:hanging="10" w:firstLineChars="0"/>
              <w:rPr>
                <w:rFonts w:hint="eastAsia" w:ascii="仿宋" w:hAnsi="仿宋" w:eastAsia="仿宋" w:cs="仿宋"/>
                <w:sz w:val="24"/>
                <w:highlight w:val="none"/>
              </w:rPr>
            </w:pPr>
            <w:r>
              <w:rPr>
                <w:rFonts w:hint="eastAsia" w:ascii="仿宋" w:hAnsi="仿宋" w:eastAsia="仿宋" w:cs="仿宋"/>
                <w:sz w:val="24"/>
                <w:highlight w:val="none"/>
                <w:lang w:val="en-US" w:eastAsia="zh-CN"/>
              </w:rPr>
              <w:t>供应商提供的安装人员须具备高空作业操作证，提供1个得2分，每增加1个，加2分，本项最高得分为10分。</w:t>
            </w:r>
          </w:p>
        </w:tc>
      </w:tr>
      <w:tr>
        <w:tblPrEx>
          <w:tblCellMar>
            <w:top w:w="0" w:type="dxa"/>
            <w:left w:w="108" w:type="dxa"/>
            <w:bottom w:w="0" w:type="dxa"/>
            <w:right w:w="108" w:type="dxa"/>
          </w:tblCellMar>
        </w:tblPrEx>
        <w:trPr>
          <w:trHeight w:val="1045" w:hRule="atLeast"/>
          <w:jc w:val="center"/>
        </w:trPr>
        <w:tc>
          <w:tcPr>
            <w:tcW w:w="29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购买社保及意外伤害险</w:t>
            </w:r>
          </w:p>
        </w:tc>
        <w:tc>
          <w:tcPr>
            <w:tcW w:w="1068" w:type="dxa"/>
            <w:tcBorders>
              <w:top w:val="single" w:color="auto" w:sz="4" w:space="0"/>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w:t>
            </w:r>
            <w:r>
              <w:rPr>
                <w:rFonts w:hint="eastAsia" w:ascii="仿宋" w:hAnsi="仿宋" w:eastAsia="仿宋" w:cs="仿宋"/>
                <w:sz w:val="24"/>
                <w:highlight w:val="none"/>
                <w:lang w:val="en-US" w:eastAsia="zh-CN"/>
              </w:rPr>
              <w:t>分</w:t>
            </w:r>
          </w:p>
        </w:tc>
        <w:tc>
          <w:tcPr>
            <w:tcW w:w="61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供应商为安装人员购买了社保及意外伤害险的，购买5人及以上的，得5分，本项满分5分。</w:t>
            </w:r>
          </w:p>
        </w:tc>
      </w:tr>
      <w:tr>
        <w:tblPrEx>
          <w:tblCellMar>
            <w:top w:w="0" w:type="dxa"/>
            <w:left w:w="108" w:type="dxa"/>
            <w:bottom w:w="0" w:type="dxa"/>
            <w:right w:w="108" w:type="dxa"/>
          </w:tblCellMar>
        </w:tblPrEx>
        <w:trPr>
          <w:trHeight w:val="945" w:hRule="atLeast"/>
          <w:jc w:val="center"/>
        </w:trPr>
        <w:tc>
          <w:tcPr>
            <w:tcW w:w="29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7195" w:type="dxa"/>
            <w:gridSpan w:val="2"/>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100</w:t>
            </w:r>
            <w:r>
              <w:rPr>
                <w:rFonts w:hint="eastAsia" w:ascii="仿宋" w:hAnsi="仿宋" w:eastAsia="仿宋" w:cs="仿宋"/>
                <w:sz w:val="24"/>
                <w:highlight w:val="none"/>
              </w:rPr>
              <w:t>分</w:t>
            </w:r>
          </w:p>
        </w:tc>
      </w:tr>
    </w:tbl>
    <w:p>
      <w:pPr>
        <w:pStyle w:val="4"/>
        <w:pageBreakBefore w:val="0"/>
        <w:widowControl w:val="0"/>
        <w:kinsoku/>
        <w:wordWrap/>
        <w:overflowPunct/>
        <w:topLinePunct w:val="0"/>
        <w:autoSpaceDE/>
        <w:autoSpaceDN/>
        <w:bidi w:val="0"/>
        <w:adjustRightInd/>
        <w:snapToGrid/>
        <w:spacing w:line="560" w:lineRule="exact"/>
        <w:textAlignment w:val="auto"/>
        <w:rPr>
          <w:rFonts w:ascii="宋体" w:hAnsi="宋体" w:eastAsia="宋体" w:cs="宋体"/>
          <w:b/>
          <w:color w:val="000000"/>
          <w:highlight w:val="none"/>
        </w:rPr>
      </w:pPr>
      <w:r>
        <w:rPr>
          <w:rFonts w:hint="eastAsia" w:ascii="宋体" w:hAnsi="宋体" w:eastAsia="宋体" w:cs="宋体"/>
          <w:b/>
          <w:color w:val="auto"/>
          <w:highlight w:val="none"/>
        </w:rPr>
        <w:t xml:space="preserve"> </w:t>
      </w:r>
      <w:r>
        <w:rPr>
          <w:rFonts w:hint="eastAsia" w:ascii="黑体" w:hAnsi="黑体" w:eastAsia="黑体" w:cs="黑体"/>
          <w:b w:val="0"/>
          <w:bCs w:val="0"/>
          <w:color w:val="auto"/>
          <w:sz w:val="32"/>
          <w:szCs w:val="40"/>
          <w:highlight w:val="none"/>
        </w:rPr>
        <w:t xml:space="preserve"> </w:t>
      </w:r>
      <w:bookmarkStart w:id="36" w:name="_Toc523327948"/>
      <w:bookmarkStart w:id="37" w:name="_Toc523328222"/>
      <w:bookmarkStart w:id="38" w:name="_Toc13648905"/>
      <w:bookmarkStart w:id="39" w:name="_Toc523328538"/>
      <w:bookmarkStart w:id="40" w:name="_Toc523327786"/>
      <w:bookmarkStart w:id="41" w:name="_Toc9032814"/>
      <w:r>
        <w:rPr>
          <w:rFonts w:hint="eastAsia" w:ascii="黑体" w:hAnsi="黑体" w:eastAsia="黑体" w:cs="黑体"/>
          <w:b w:val="0"/>
          <w:bCs w:val="0"/>
          <w:color w:val="auto"/>
          <w:sz w:val="32"/>
          <w:szCs w:val="40"/>
          <w:highlight w:val="none"/>
        </w:rPr>
        <w:t>第三节 废标条款</w:t>
      </w:r>
      <w:bookmarkEnd w:id="36"/>
      <w:bookmarkEnd w:id="37"/>
      <w:bookmarkEnd w:id="38"/>
      <w:bookmarkEnd w:id="39"/>
      <w:bookmarkEnd w:id="40"/>
      <w:bookmarkEnd w:id="41"/>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出现下列情形之一的，本项目作废标处理,项目评审终止：</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1.符合专业条件的或对比选文件作实质响应的有效参选人不足三家的；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2.出现影响比选公正的违法、违规行为的；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3.因重大变故，比选任务取消的；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4.法律法规规定的其他情形。</w:t>
      </w:r>
    </w:p>
    <w:p>
      <w:pPr>
        <w:pStyle w:val="4"/>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olor w:val="000000"/>
          <w:sz w:val="32"/>
          <w:szCs w:val="40"/>
          <w:highlight w:val="none"/>
        </w:rPr>
      </w:pPr>
      <w:bookmarkStart w:id="42" w:name="_Toc406671102"/>
      <w:bookmarkStart w:id="43" w:name="_Toc406672393"/>
      <w:bookmarkStart w:id="44" w:name="_Toc523328223"/>
      <w:bookmarkStart w:id="45" w:name="_Toc523327787"/>
      <w:bookmarkStart w:id="46" w:name="_Toc9032815"/>
      <w:bookmarkStart w:id="47" w:name="_Toc523327949"/>
      <w:bookmarkStart w:id="48" w:name="_Toc523328539"/>
      <w:bookmarkStart w:id="49" w:name="_Toc406671690"/>
      <w:bookmarkStart w:id="50" w:name="_Toc424213021"/>
      <w:bookmarkStart w:id="51" w:name="_Toc13648906"/>
      <w:bookmarkStart w:id="52" w:name="_Toc406670731"/>
      <w:r>
        <w:rPr>
          <w:rFonts w:hint="eastAsia" w:ascii="黑体" w:hAnsi="黑体" w:eastAsia="黑体" w:cs="黑体"/>
          <w:b w:val="0"/>
          <w:bCs w:val="0"/>
          <w:color w:val="000000"/>
          <w:sz w:val="32"/>
          <w:szCs w:val="40"/>
          <w:highlight w:val="none"/>
        </w:rPr>
        <w:t>第四节 无效标条款</w:t>
      </w:r>
      <w:bookmarkEnd w:id="42"/>
      <w:bookmarkEnd w:id="43"/>
      <w:bookmarkEnd w:id="44"/>
      <w:bookmarkEnd w:id="45"/>
      <w:bookmarkEnd w:id="46"/>
      <w:bookmarkEnd w:id="47"/>
      <w:bookmarkEnd w:id="48"/>
      <w:bookmarkEnd w:id="49"/>
      <w:bookmarkEnd w:id="50"/>
      <w:bookmarkEnd w:id="51"/>
      <w:bookmarkEnd w:id="52"/>
    </w:p>
    <w:p>
      <w:pPr>
        <w:pageBreakBefore w:val="0"/>
        <w:widowControl w:val="0"/>
        <w:kinsoku/>
        <w:wordWrap/>
        <w:overflowPunct/>
        <w:topLinePunct w:val="0"/>
        <w:autoSpaceDE/>
        <w:autoSpaceDN/>
        <w:bidi w:val="0"/>
        <w:adjustRightInd/>
        <w:snapToGrid/>
        <w:spacing w:beforeLines="100" w:afterLines="50" w:line="560" w:lineRule="exact"/>
        <w:ind w:firstLine="640" w:firstLineChars="2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出现下列情形之一的，参选人递交的响应文件作无效标处理，该参选人的响应文件不参与评审，且不计算入参选人家数： </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1.递交的响应文件不完整或未按比选文件要求加盖公章及签字的；</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sz w:val="32"/>
          <w:szCs w:val="32"/>
          <w:highlight w:val="none"/>
        </w:rPr>
      </w:pPr>
      <w:r>
        <w:rPr>
          <w:rFonts w:hint="eastAsia" w:ascii="仿宋" w:hAnsi="仿宋" w:eastAsia="仿宋" w:cs="仿宋"/>
          <w:color w:val="000000"/>
          <w:sz w:val="32"/>
          <w:szCs w:val="32"/>
          <w:highlight w:val="none"/>
        </w:rPr>
        <w:t>2</w:t>
      </w:r>
      <w:r>
        <w:rPr>
          <w:rFonts w:hint="eastAsia" w:ascii="仿宋" w:hAnsi="仿宋" w:eastAsia="仿宋" w:cs="仿宋"/>
          <w:color w:val="auto"/>
          <w:sz w:val="32"/>
          <w:szCs w:val="32"/>
          <w:highlight w:val="none"/>
        </w:rPr>
        <w:t>.参选人不符合国家及比选文件规定的资格条件的；</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3.项目接受联合体投标时，投标联合体未提交联合投标协议的；</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4.响应文件对比选文件的实质性要求和条件未作出响应的；</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5.参选人有串通投标、弄虚作假、行贿等违法行为的；</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6.有下列情形之一的，视为参选人串通投标，其投标无效：</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①不同参选人的响应文件由同一单位或者个人编制；</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②不同参选人委托同一单位或者个人办理投标事宜；</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③不同参选人的响应文件载明的项目管理成员或者联系人员为同一人；</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④不同参选人的响应文件异常一致或者投标报价呈规律性差异；</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⑤不同参选人的响应文件相互混装；</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7.响应文件未胶装成册的（采用打孔装订、活页夹等方式装订的响应文件作为无效投标处理）；</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8.比选有效期不满足比选文件要求的；</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9.响应文件承诺收费报价下浮率不满足比选文件要求的；</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10.单位负责人为同一人或者存在直接控股、管理关系的不同参选人，不得参加同一品目的比选。</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ascii="宋体" w:hAnsi="宋体" w:cs="宋体"/>
          <w:color w:val="000000"/>
          <w:sz w:val="24"/>
          <w:highlight w:val="none"/>
        </w:rPr>
      </w:pPr>
      <w:r>
        <w:rPr>
          <w:rFonts w:hint="eastAsia" w:ascii="仿宋" w:hAnsi="仿宋" w:eastAsia="仿宋" w:cs="仿宋"/>
          <w:color w:val="000000"/>
          <w:sz w:val="32"/>
          <w:szCs w:val="32"/>
          <w:highlight w:val="none"/>
        </w:rPr>
        <w:t>11.违反相关法律法规,足以导致响应文件无效的情形。</w:t>
      </w:r>
    </w:p>
    <w:p>
      <w:pPr>
        <w:keepNext w:val="0"/>
        <w:keepLines w:val="0"/>
        <w:pageBreakBefore w:val="0"/>
        <w:widowControl w:val="0"/>
        <w:kinsoku/>
        <w:wordWrap/>
        <w:overflowPunct/>
        <w:topLinePunct w:val="0"/>
        <w:autoSpaceDE/>
        <w:autoSpaceDN/>
        <w:bidi w:val="0"/>
        <w:adjustRightInd w:val="0"/>
        <w:snapToGrid w:val="0"/>
        <w:spacing w:line="540" w:lineRule="exact"/>
        <w:jc w:val="both"/>
        <w:textAlignment w:val="auto"/>
        <w:rPr>
          <w:rFonts w:hint="eastAsia" w:ascii="方正小标宋简体" w:hAnsi="方正小标宋简体" w:eastAsia="方正小标宋简体" w:cs="方正小标宋简体"/>
          <w:b w:val="0"/>
          <w:bCs w:val="0"/>
          <w:color w:val="00000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方正小标宋简体" w:hAnsi="方正小标宋简体" w:eastAsia="方正小标宋简体" w:cs="方正小标宋简体"/>
          <w:b w:val="0"/>
          <w:bCs w:val="0"/>
          <w:color w:val="000000"/>
          <w:sz w:val="32"/>
          <w:szCs w:val="32"/>
          <w:highlight w:val="none"/>
          <w:lang w:val="en-US" w:eastAsia="zh-CN"/>
        </w:rPr>
      </w:pPr>
      <w:r>
        <w:rPr>
          <w:rFonts w:hint="eastAsia" w:ascii="方正小标宋简体" w:hAnsi="方正小标宋简体" w:eastAsia="方正小标宋简体" w:cs="方正小标宋简体"/>
          <w:b w:val="0"/>
          <w:bCs w:val="0"/>
          <w:color w:val="000000"/>
          <w:sz w:val="32"/>
          <w:szCs w:val="32"/>
          <w:highlight w:val="none"/>
          <w:lang w:val="en-US" w:eastAsia="zh-CN"/>
        </w:rPr>
        <w:t>第四章  比选公告</w:t>
      </w:r>
    </w:p>
    <w:p>
      <w:pPr>
        <w:pStyle w:val="6"/>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一、项目概况及采购范围</w:t>
      </w:r>
    </w:p>
    <w:p>
      <w:pPr>
        <w:pStyle w:val="6"/>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1.采购项目名称 </w:t>
      </w:r>
    </w:p>
    <w:p>
      <w:pPr>
        <w:pStyle w:val="6"/>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贵阳市水务环境集团有限公司办公大楼发光字及标识标牌制作安装采购项目</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sz w:val="32"/>
          <w:szCs w:val="32"/>
          <w:highlight w:val="none"/>
          <w:lang w:val="en-US" w:eastAsia="zh-CN"/>
        </w:rPr>
        <w:t>2.采购内容：</w:t>
      </w:r>
      <w:r>
        <w:rPr>
          <w:rFonts w:hint="eastAsia" w:ascii="仿宋" w:hAnsi="仿宋" w:eastAsia="仿宋" w:cs="仿宋"/>
          <w:b w:val="0"/>
          <w:bCs/>
          <w:kern w:val="0"/>
          <w:sz w:val="32"/>
          <w:szCs w:val="32"/>
          <w:highlight w:val="none"/>
          <w:lang w:val="en-US" w:eastAsia="zh-CN"/>
        </w:rPr>
        <w:t>贵阳市水务环境集团有限公司办公大楼屋顶发光字及一、二号大门处公司名称标识标牌的制作及安装；包括办公大楼原屋顶发光字及一、二号大门处原公司名称标识标牌的拆除和更换等。</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3.项目拦标价：26.16万元</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4.项目实施工期：20日历天内交货安装完成并通过验收。</w:t>
      </w:r>
    </w:p>
    <w:p>
      <w:pPr>
        <w:pStyle w:val="22"/>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after="0" w:line="540" w:lineRule="exact"/>
        <w:ind w:right="0" w:rightChars="0" w:firstLine="640" w:firstLineChars="200"/>
        <w:jc w:val="left"/>
        <w:textAlignment w:val="auto"/>
        <w:rPr>
          <w:rFonts w:hint="eastAsia" w:ascii="仿宋" w:hAnsi="仿宋" w:eastAsia="仿宋" w:cs="仿宋"/>
          <w:b w:val="0"/>
          <w:bCs/>
          <w:kern w:val="0"/>
          <w:sz w:val="32"/>
          <w:szCs w:val="32"/>
          <w:highlight w:val="none"/>
          <w:lang w:val="en-US" w:eastAsia="zh-CN"/>
        </w:rPr>
      </w:pPr>
      <w:r>
        <w:rPr>
          <w:rFonts w:hint="eastAsia" w:ascii="仿宋" w:hAnsi="仿宋" w:eastAsia="仿宋" w:cs="仿宋"/>
          <w:b w:val="0"/>
          <w:bCs/>
          <w:kern w:val="0"/>
          <w:sz w:val="32"/>
          <w:szCs w:val="32"/>
          <w:highlight w:val="none"/>
          <w:lang w:val="en-US" w:eastAsia="zh-CN"/>
        </w:rPr>
        <w:t>5.质量标准：符合国家现行有关质量标准及本项目要求。</w:t>
      </w:r>
    </w:p>
    <w:p>
      <w:pPr>
        <w:pStyle w:val="6"/>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二、参选供应商资格要求</w:t>
      </w:r>
    </w:p>
    <w:p>
      <w:pPr>
        <w:pStyle w:val="22"/>
        <w:keepNext w:val="0"/>
        <w:keepLines w:val="0"/>
        <w:pageBreakBefore w:val="0"/>
        <w:widowControl w:val="0"/>
        <w:numPr>
          <w:ilvl w:val="-1"/>
          <w:numId w:val="0"/>
        </w:numPr>
        <w:tabs>
          <w:tab w:val="left" w:pos="840"/>
        </w:tabs>
        <w:kinsoku/>
        <w:wordWrap/>
        <w:overflowPunct/>
        <w:topLinePunct w:val="0"/>
        <w:autoSpaceDE/>
        <w:autoSpaceDN/>
        <w:bidi w:val="0"/>
        <w:adjustRightInd/>
        <w:snapToGrid/>
        <w:spacing w:after="0" w:line="540" w:lineRule="exact"/>
        <w:ind w:left="0" w:right="0" w:rightChars="0" w:firstLine="643" w:firstLineChars="200"/>
        <w:jc w:val="both"/>
        <w:textAlignment w:val="auto"/>
        <w:rPr>
          <w:rFonts w:hint="eastAsia" w:ascii="黑体" w:hAnsi="黑体" w:eastAsia="黑体" w:cs="黑体"/>
          <w:sz w:val="32"/>
          <w:szCs w:val="32"/>
          <w:highlight w:val="none"/>
          <w:lang w:val="en-US" w:eastAsia="zh-CN"/>
        </w:rPr>
      </w:pPr>
      <w:r>
        <w:rPr>
          <w:rFonts w:hint="eastAsia" w:ascii="仿宋" w:hAnsi="仿宋" w:eastAsia="仿宋" w:cs="仿宋"/>
          <w:b/>
          <w:bCs/>
          <w:sz w:val="32"/>
          <w:szCs w:val="32"/>
          <w:highlight w:val="none"/>
          <w:lang w:val="en-US" w:eastAsia="zh-CN"/>
        </w:rPr>
        <w:t>本项目实施资格审查，参选供应商在报名获取比选文件时需提交以下资料一份（需加盖企业公章），满足以下资格条件的供应商方可参加比选。</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1、具有中华人民共和国境内依法登记注册的独立法人资格，具有独立承担民事责任的能力：提供有效的载明统一社会信用代码的营业执照正本或副本复印件并加盖单位公章。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2、有效法定代表人身份证明及法人身份证正反面，或有效的法定代表人授权书（包含授权书、被授权人身份证正反面、法人身份证正反面）；</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val="0"/>
          <w:bCs w:val="0"/>
          <w:sz w:val="32"/>
          <w:szCs w:val="32"/>
          <w:highlight w:val="none"/>
          <w:lang w:val="en-US" w:eastAsia="zh-CN"/>
        </w:rPr>
        <w:t>3、</w:t>
      </w:r>
      <w:r>
        <w:rPr>
          <w:rFonts w:hint="default" w:ascii="仿宋" w:hAnsi="仿宋" w:eastAsia="仿宋" w:cs="仿宋"/>
          <w:b w:val="0"/>
          <w:bCs w:val="0"/>
          <w:sz w:val="32"/>
          <w:szCs w:val="32"/>
          <w:highlight w:val="none"/>
          <w:lang w:val="en-US" w:eastAsia="zh-CN"/>
        </w:rPr>
        <w:t>具有良好的商业信誉和</w:t>
      </w:r>
      <w:r>
        <w:rPr>
          <w:rFonts w:hint="default" w:ascii="仿宋" w:hAnsi="仿宋" w:eastAsia="仿宋" w:cs="仿宋"/>
          <w:sz w:val="32"/>
          <w:szCs w:val="32"/>
          <w:highlight w:val="none"/>
          <w:lang w:val="en-US" w:eastAsia="zh-CN"/>
        </w:rPr>
        <w:t>健全的财务会计制度，</w:t>
      </w:r>
      <w:r>
        <w:rPr>
          <w:rFonts w:hint="eastAsia" w:ascii="仿宋" w:hAnsi="仿宋" w:eastAsia="仿宋" w:cs="仿宋"/>
          <w:sz w:val="32"/>
          <w:szCs w:val="32"/>
          <w:highlight w:val="none"/>
          <w:lang w:val="en-US" w:eastAsia="zh-CN"/>
        </w:rPr>
        <w:t>提供2022年度财务报表,新成立公司或者成立不满一年的公司提供银行出具的资信证明；（复印件加盖单位公章）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4、具有履行合同所必备的设施设备和专业服务能力：提供承诺书原件。（供应商自行承诺，格式自拟）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5、具有依法缴纳税收的良好记录，提供2022年至今任意连续三个月连续缴纳税收凭证等相关资料。(复印件加盖投标人公章）。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报价资格，并承担由此造成的一切法律责任及后果。（供应商自行承诺，格式自拟）</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三、比选文件的获取</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1.获取时间、方式：凡有意参加投标者，请于2024年04月**日起至2024年04月**日每日09:00至17:00（北京时间，下同）在</w:t>
      </w:r>
      <w:r>
        <w:rPr>
          <w:rFonts w:hint="eastAsia" w:ascii="仿宋" w:hAnsi="仿宋" w:eastAsia="仿宋" w:cs="仿宋"/>
          <w:b w:val="0"/>
          <w:bCs/>
          <w:kern w:val="0"/>
          <w:sz w:val="32"/>
          <w:szCs w:val="32"/>
          <w:highlight w:val="none"/>
          <w:lang w:val="en-US" w:eastAsia="zh-CN"/>
        </w:rPr>
        <w:t>贵阳市高新区金阳科技产业园兴义路一号</w:t>
      </w:r>
      <w:r>
        <w:rPr>
          <w:rFonts w:hint="eastAsia" w:ascii="仿宋" w:hAnsi="仿宋" w:eastAsia="仿宋" w:cs="仿宋"/>
          <w:kern w:val="2"/>
          <w:sz w:val="32"/>
          <w:szCs w:val="32"/>
          <w:highlight w:val="none"/>
          <w:lang w:val="en-US" w:eastAsia="zh-CN" w:bidi="ar-SA"/>
        </w:rPr>
        <w:t>水务大厦20楼2008办公室获取比选采购文件，截至比选采购文件获取时间止，未获取比选采购文件的单位不得参与报价。</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 xml:space="preserve">    </w:t>
      </w:r>
      <w:r>
        <w:rPr>
          <w:rFonts w:hint="eastAsia" w:ascii="仿宋" w:hAnsi="仿宋" w:eastAsia="仿宋" w:cs="仿宋"/>
          <w:b/>
          <w:bCs/>
          <w:kern w:val="2"/>
          <w:sz w:val="32"/>
          <w:szCs w:val="32"/>
          <w:highlight w:val="none"/>
          <w:lang w:val="en-US" w:eastAsia="zh-CN" w:bidi="ar-SA"/>
        </w:rPr>
        <w:t>2.</w:t>
      </w:r>
      <w:r>
        <w:rPr>
          <w:rFonts w:hint="eastAsia" w:ascii="仿宋" w:hAnsi="仿宋" w:eastAsia="仿宋" w:cs="仿宋"/>
          <w:b/>
          <w:bCs/>
          <w:kern w:val="2"/>
          <w:sz w:val="32"/>
          <w:szCs w:val="32"/>
          <w:highlight w:val="none"/>
          <w:lang w:val="en-US" w:eastAsia="zh-CN" w:bidi="ar-SA"/>
        </w:rPr>
        <w:t>获取比选文件时须按比选公告中</w:t>
      </w:r>
      <w:r>
        <w:rPr>
          <w:rFonts w:hint="eastAsia" w:ascii="仿宋" w:hAnsi="仿宋" w:eastAsia="仿宋" w:cs="仿宋"/>
          <w:b/>
          <w:bCs/>
          <w:kern w:val="2"/>
          <w:sz w:val="32"/>
          <w:szCs w:val="32"/>
          <w:highlight w:val="none"/>
          <w:lang w:val="en-US" w:eastAsia="zh-CN" w:bidi="ar-SA"/>
        </w:rPr>
        <w:t>参选供应商资格要求提供相应资料1份（需加盖企业公章）。</w:t>
      </w:r>
    </w:p>
    <w:p>
      <w:pPr>
        <w:pStyle w:val="6"/>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四、比选响应文件的递交</w:t>
      </w:r>
    </w:p>
    <w:p>
      <w:pPr>
        <w:pStyle w:val="6"/>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1.递交时间及地点</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color w:val="auto"/>
          <w:sz w:val="32"/>
          <w:szCs w:val="32"/>
          <w:highlight w:val="none"/>
          <w:lang w:val="en-US" w:eastAsia="zh-CN"/>
        </w:rPr>
      </w:pPr>
      <w:r>
        <w:rPr>
          <w:rFonts w:hint="eastAsia"/>
          <w:sz w:val="32"/>
          <w:szCs w:val="32"/>
          <w:highlight w:val="none"/>
          <w:lang w:val="en-US" w:eastAsia="zh-CN"/>
        </w:rPr>
        <w:t xml:space="preserve">    </w:t>
      </w:r>
      <w:r>
        <w:rPr>
          <w:rFonts w:hint="eastAsia" w:ascii="仿宋" w:hAnsi="仿宋" w:eastAsia="仿宋" w:cs="仿宋"/>
          <w:sz w:val="32"/>
          <w:szCs w:val="32"/>
          <w:highlight w:val="none"/>
          <w:lang w:val="en-US" w:eastAsia="zh-CN"/>
        </w:rPr>
        <w:t>递交比选响应文件的截止时</w:t>
      </w:r>
      <w:r>
        <w:rPr>
          <w:rFonts w:hint="eastAsia" w:ascii="仿宋" w:hAnsi="仿宋" w:eastAsia="仿宋" w:cs="仿宋"/>
          <w:color w:val="auto"/>
          <w:sz w:val="32"/>
          <w:szCs w:val="32"/>
          <w:highlight w:val="none"/>
          <w:lang w:val="en-US" w:eastAsia="zh-CN"/>
        </w:rPr>
        <w:t>间为：2024年4月**日18：00前。</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黑体" w:hAnsi="黑体" w:eastAsia="黑体" w:cs="黑体"/>
          <w:sz w:val="32"/>
          <w:szCs w:val="32"/>
          <w:highlight w:val="none"/>
          <w:lang w:val="en-US" w:eastAsia="zh-CN"/>
        </w:rPr>
      </w:pPr>
      <w:r>
        <w:rPr>
          <w:rFonts w:hint="eastAsia" w:ascii="黑体" w:hAnsi="黑体" w:eastAsia="黑体" w:cs="黑体"/>
          <w:color w:val="auto"/>
          <w:sz w:val="32"/>
          <w:szCs w:val="32"/>
          <w:highlight w:val="none"/>
          <w:lang w:val="en-US" w:eastAsia="zh-CN"/>
        </w:rPr>
        <w:t xml:space="preserve">    </w:t>
      </w:r>
      <w:r>
        <w:rPr>
          <w:rFonts w:hint="eastAsia" w:ascii="仿宋" w:hAnsi="仿宋" w:eastAsia="仿宋" w:cs="仿宋"/>
          <w:color w:val="auto"/>
          <w:sz w:val="32"/>
          <w:szCs w:val="32"/>
          <w:highlight w:val="none"/>
          <w:lang w:val="en-US" w:eastAsia="zh-CN"/>
        </w:rPr>
        <w:t>递交比选响应文件地点：</w:t>
      </w:r>
      <w:r>
        <w:rPr>
          <w:rFonts w:hint="eastAsia" w:ascii="仿宋" w:hAnsi="仿宋" w:eastAsia="仿宋" w:cs="仿宋"/>
          <w:b w:val="0"/>
          <w:bCs/>
          <w:color w:val="auto"/>
          <w:kern w:val="0"/>
          <w:sz w:val="32"/>
          <w:szCs w:val="32"/>
          <w:highlight w:val="none"/>
          <w:lang w:val="en-US" w:eastAsia="zh-CN"/>
        </w:rPr>
        <w:t>贵阳市高</w:t>
      </w:r>
      <w:r>
        <w:rPr>
          <w:rFonts w:hint="eastAsia" w:ascii="仿宋" w:hAnsi="仿宋" w:eastAsia="仿宋" w:cs="仿宋"/>
          <w:b w:val="0"/>
          <w:bCs/>
          <w:kern w:val="0"/>
          <w:sz w:val="32"/>
          <w:szCs w:val="32"/>
          <w:highlight w:val="none"/>
          <w:lang w:val="en-US" w:eastAsia="zh-CN"/>
        </w:rPr>
        <w:t>新区金阳科技产业园兴义路一号</w:t>
      </w:r>
      <w:r>
        <w:rPr>
          <w:rFonts w:hint="eastAsia" w:ascii="仿宋" w:hAnsi="仿宋" w:eastAsia="仿宋" w:cs="仿宋"/>
          <w:kern w:val="2"/>
          <w:sz w:val="32"/>
          <w:szCs w:val="32"/>
          <w:highlight w:val="none"/>
          <w:lang w:val="en-US" w:eastAsia="zh-CN" w:bidi="ar-SA"/>
        </w:rPr>
        <w:t>水务大厦20楼2008办公室</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highlight w:val="none"/>
          <w:lang w:val="en-US" w:eastAsia="zh-CN"/>
        </w:rPr>
      </w:pPr>
      <w:r>
        <w:rPr>
          <w:rFonts w:hint="eastAsia" w:ascii="黑体" w:hAnsi="黑体" w:eastAsia="黑体" w:cs="黑体"/>
          <w:sz w:val="32"/>
          <w:szCs w:val="32"/>
          <w:highlight w:val="none"/>
          <w:lang w:val="en-US" w:eastAsia="zh-CN"/>
        </w:rPr>
        <w:t xml:space="preserve">   </w:t>
      </w:r>
      <w:r>
        <w:rPr>
          <w:rFonts w:hint="eastAsia" w:ascii="仿宋" w:hAnsi="仿宋" w:eastAsia="仿宋" w:cs="仿宋"/>
          <w:sz w:val="32"/>
          <w:szCs w:val="32"/>
          <w:highlight w:val="none"/>
          <w:lang w:val="en-US" w:eastAsia="zh-CN"/>
        </w:rPr>
        <w:t xml:space="preserve"> 2.逾期送达或者未送达指定地点的比选响应文件，采购人不予受理。</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eastAsia" w:ascii="黑体" w:hAnsi="黑体" w:eastAsia="黑体" w:cs="黑体"/>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五、开标时间</w:t>
      </w:r>
    </w:p>
    <w:p>
      <w:pPr>
        <w:pStyle w:val="2"/>
        <w:ind w:firstLine="643" w:firstLineChars="200"/>
        <w:jc w:val="both"/>
        <w:rPr>
          <w:rFonts w:hint="default"/>
          <w:lang w:val="en-US" w:eastAsia="zh-CN"/>
        </w:rPr>
      </w:pPr>
      <w:r>
        <w:rPr>
          <w:rFonts w:hint="eastAsia" w:ascii="仿宋" w:hAnsi="仿宋" w:eastAsia="仿宋" w:cs="仿宋"/>
          <w:b/>
          <w:bCs/>
          <w:sz w:val="32"/>
          <w:szCs w:val="32"/>
          <w:highlight w:val="none"/>
          <w:lang w:val="en-US" w:eastAsia="zh-CN"/>
        </w:rPr>
        <w:t>报名审查通过的供应商方可参加比选。</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开标时间：另行通知。</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开标地点：另行通知。</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rPr>
          <w:rFonts w:hint="eastAsia" w:ascii="黑体" w:hAnsi="黑体" w:eastAsia="黑体" w:cs="黑体"/>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六、开标时间和地点及方式</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开标时间、地点及方式：另行通知。</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rPr>
          <w:rFonts w:hint="eastAsia" w:ascii="黑体" w:hAnsi="黑体" w:eastAsia="黑体" w:cs="黑体"/>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七、发布公告的媒介</w:t>
      </w:r>
    </w:p>
    <w:p>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本次采购公告在贵阳市水务环境集团有限公司官网（网址：www.gy-water.com）上发布。</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八、联系方式</w:t>
      </w:r>
    </w:p>
    <w:p>
      <w:pPr>
        <w:pStyle w:val="6"/>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采购人名称：贵阳市水务环境集团有限公司</w:t>
      </w:r>
    </w:p>
    <w:p>
      <w:pPr>
        <w:pStyle w:val="6"/>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地      址：</w:t>
      </w:r>
      <w:r>
        <w:rPr>
          <w:rFonts w:hint="eastAsia" w:ascii="仿宋" w:hAnsi="仿宋" w:eastAsia="仿宋" w:cs="仿宋"/>
          <w:b w:val="0"/>
          <w:bCs/>
          <w:kern w:val="0"/>
          <w:sz w:val="32"/>
          <w:szCs w:val="32"/>
          <w:highlight w:val="none"/>
          <w:lang w:val="en-US" w:eastAsia="zh-CN"/>
        </w:rPr>
        <w:t>贵阳市高新区金阳科技产业园兴义路一号</w:t>
      </w:r>
    </w:p>
    <w:p>
      <w:pPr>
        <w:pStyle w:val="6"/>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联  系  人：许工</w:t>
      </w:r>
    </w:p>
    <w:p>
      <w:pPr>
        <w:pStyle w:val="6"/>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联系电话：13765071012</w:t>
      </w:r>
    </w:p>
    <w:p>
      <w:pP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br w:type="page"/>
      </w:r>
    </w:p>
    <w:p>
      <w:pPr>
        <w:pStyle w:val="6"/>
        <w:rPr>
          <w:rFonts w:hint="eastAsia"/>
          <w:lang w:val="en-US" w:eastAsia="zh-CN"/>
        </w:rPr>
      </w:pPr>
    </w:p>
    <w:p>
      <w:pPr>
        <w:rPr>
          <w:rFonts w:hint="eastAsia"/>
          <w:lang w:val="en-US" w:eastAsia="zh-CN"/>
        </w:rPr>
      </w:pPr>
    </w:p>
    <w:p>
      <w:pPr>
        <w:pStyle w:val="6"/>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b w:val="0"/>
          <w:bCs/>
          <w:color w:val="000000"/>
          <w:kern w:val="2"/>
          <w:sz w:val="32"/>
          <w:szCs w:val="32"/>
          <w:highlight w:val="none"/>
          <w:lang w:val="en-US" w:eastAsia="zh-CN" w:bidi="ar-SA"/>
        </w:rPr>
      </w:pPr>
      <w:bookmarkStart w:id="53" w:name="_Toc13648951"/>
      <w:r>
        <w:rPr>
          <w:rFonts w:hint="eastAsia" w:ascii="方正小标宋简体" w:hAnsi="方正小标宋简体" w:eastAsia="方正小标宋简体" w:cs="方正小标宋简体"/>
          <w:b w:val="0"/>
          <w:bCs/>
          <w:color w:val="000000"/>
          <w:kern w:val="2"/>
          <w:sz w:val="32"/>
          <w:szCs w:val="32"/>
          <w:highlight w:val="none"/>
          <w:lang w:val="en-US" w:eastAsia="zh-CN" w:bidi="ar-SA"/>
        </w:rPr>
        <w:t xml:space="preserve"> 响应文件格式模板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b w:val="0"/>
          <w:bCs w:val="0"/>
          <w:color w:val="00000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b w:val="0"/>
          <w:bCs w:val="0"/>
          <w:color w:val="000000"/>
          <w:sz w:val="32"/>
          <w:szCs w:val="32"/>
          <w:highlight w:val="none"/>
          <w:lang w:val="en-US" w:eastAsia="zh-CN"/>
        </w:rPr>
      </w:pPr>
    </w:p>
    <w:bookmarkEnd w:id="53"/>
    <w:p>
      <w:pPr>
        <w:rPr>
          <w:rFonts w:hint="eastAsia" w:ascii="黑体" w:hAnsi="黑体" w:eastAsia="黑体" w:cs="黑体"/>
          <w:color w:val="000000"/>
          <w:sz w:val="32"/>
          <w:szCs w:val="32"/>
          <w:highlight w:val="none"/>
        </w:rPr>
      </w:pPr>
      <w:r>
        <w:rPr>
          <w:rFonts w:hint="eastAsia" w:ascii="黑体" w:hAnsi="黑体" w:eastAsia="黑体" w:cs="黑体"/>
          <w:color w:val="000000"/>
          <w:sz w:val="32"/>
          <w:szCs w:val="32"/>
          <w:highlight w:val="none"/>
        </w:rPr>
        <w:br w:type="page"/>
      </w:r>
    </w:p>
    <w:p>
      <w:pPr>
        <w:rPr>
          <w:rFonts w:ascii="宋体" w:hAnsi="宋体"/>
          <w:color w:val="000000"/>
          <w:sz w:val="24"/>
          <w:highlight w:val="none"/>
        </w:rPr>
      </w:pPr>
      <w:r>
        <w:rPr>
          <w:rFonts w:hint="eastAsia" w:ascii="黑体" w:hAnsi="黑体" w:eastAsia="黑体" w:cs="黑体"/>
          <w:color w:val="000000"/>
          <w:sz w:val="32"/>
          <w:szCs w:val="32"/>
          <w:highlight w:val="none"/>
        </w:rPr>
        <w:t>（封面）</w:t>
      </w:r>
      <w:r>
        <w:rPr>
          <w:rFonts w:hint="eastAsia" w:ascii="宋体" w:hAnsi="宋体"/>
          <w:color w:val="000000"/>
          <w:sz w:val="24"/>
          <w:highlight w:val="none"/>
        </w:rPr>
        <w:t xml:space="preserve">                        </w:t>
      </w:r>
    </w:p>
    <w:p>
      <w:pPr>
        <w:rPr>
          <w:rFonts w:ascii="宋体" w:hAnsi="宋体"/>
          <w:color w:val="000000"/>
          <w:sz w:val="24"/>
          <w:highlight w:val="none"/>
        </w:rPr>
      </w:pPr>
    </w:p>
    <w:p>
      <w:pPr>
        <w:rPr>
          <w:rFonts w:ascii="宋体" w:hAnsi="宋体"/>
          <w:color w:val="000000"/>
          <w:sz w:val="24"/>
          <w:highlight w:val="none"/>
        </w:rPr>
      </w:pPr>
    </w:p>
    <w:p>
      <w:pPr>
        <w:jc w:val="center"/>
        <w:rPr>
          <w:rFonts w:ascii="宋体" w:hAnsi="宋体" w:cs="仿宋"/>
          <w:b/>
          <w:bCs/>
          <w:color w:val="000000"/>
          <w:sz w:val="112"/>
          <w:szCs w:val="112"/>
          <w:highlight w:val="none"/>
        </w:rPr>
      </w:pPr>
      <w:r>
        <w:rPr>
          <w:rFonts w:hint="eastAsia" w:ascii="黑体" w:hAnsi="黑体" w:eastAsia="黑体" w:cs="黑体"/>
          <w:b w:val="0"/>
          <w:bCs w:val="0"/>
          <w:color w:val="000000"/>
          <w:sz w:val="112"/>
          <w:szCs w:val="112"/>
          <w:highlight w:val="none"/>
        </w:rPr>
        <w:t>响 应 文 件</w:t>
      </w:r>
    </w:p>
    <w:p>
      <w:pPr>
        <w:jc w:val="center"/>
        <w:rPr>
          <w:rFonts w:ascii="宋体" w:hAnsi="宋体" w:cs="仿宋"/>
          <w:color w:val="000000"/>
          <w:sz w:val="48"/>
          <w:szCs w:val="48"/>
          <w:highlight w:val="none"/>
        </w:rPr>
      </w:pPr>
    </w:p>
    <w:p>
      <w:pPr>
        <w:jc w:val="center"/>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（正本/副本）</w:t>
      </w:r>
    </w:p>
    <w:p>
      <w:pPr>
        <w:jc w:val="cente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u w:val="single"/>
        </w:rPr>
      </w:pPr>
      <w:r>
        <w:rPr>
          <w:rFonts w:hint="eastAsia" w:ascii="仿宋" w:hAnsi="仿宋" w:eastAsia="仿宋" w:cs="仿宋"/>
          <w:color w:val="000000"/>
          <w:sz w:val="24"/>
          <w:highlight w:val="none"/>
        </w:rPr>
        <w:t xml:space="preserve">          </w:t>
      </w:r>
      <w:r>
        <w:rPr>
          <w:rFonts w:hint="eastAsia" w:ascii="仿宋" w:hAnsi="仿宋" w:eastAsia="仿宋" w:cs="仿宋"/>
          <w:color w:val="000000"/>
          <w:sz w:val="28"/>
          <w:szCs w:val="28"/>
          <w:highlight w:val="none"/>
        </w:rPr>
        <w:t>采购名称：</w:t>
      </w:r>
      <w:r>
        <w:rPr>
          <w:rFonts w:hint="eastAsia" w:ascii="仿宋" w:hAnsi="仿宋" w:eastAsia="仿宋" w:cs="仿宋"/>
          <w:color w:val="000000"/>
          <w:sz w:val="28"/>
          <w:szCs w:val="28"/>
          <w:highlight w:val="none"/>
          <w:u w:val="single"/>
        </w:rPr>
        <w:t xml:space="preserve">                           </w:t>
      </w: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         参 选 人：</w:t>
      </w:r>
      <w:r>
        <w:rPr>
          <w:rFonts w:hint="eastAsia" w:ascii="仿宋" w:hAnsi="仿宋" w:eastAsia="仿宋" w:cs="仿宋"/>
          <w:color w:val="000000"/>
          <w:sz w:val="28"/>
          <w:szCs w:val="28"/>
          <w:highlight w:val="none"/>
          <w:u w:val="single"/>
        </w:rPr>
        <w:t xml:space="preserve">    （参选人公章）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rPr>
        <w:t xml:space="preserve"> </w:t>
      </w:r>
    </w:p>
    <w:p>
      <w:pPr>
        <w:jc w:val="cente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         法定代表人：</w:t>
      </w:r>
      <w:r>
        <w:rPr>
          <w:rFonts w:hint="eastAsia" w:ascii="仿宋" w:hAnsi="仿宋" w:eastAsia="仿宋" w:cs="仿宋"/>
          <w:color w:val="000000"/>
          <w:sz w:val="28"/>
          <w:szCs w:val="28"/>
          <w:highlight w:val="none"/>
          <w:u w:val="single"/>
        </w:rPr>
        <w:t xml:space="preserve">                        </w:t>
      </w:r>
    </w:p>
    <w:p>
      <w:pPr>
        <w:jc w:val="center"/>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 </w:t>
      </w:r>
    </w:p>
    <w:p>
      <w:pPr>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         被授权代表人：</w:t>
      </w:r>
      <w:r>
        <w:rPr>
          <w:rFonts w:hint="eastAsia" w:ascii="仿宋" w:hAnsi="仿宋" w:eastAsia="仿宋" w:cs="仿宋"/>
          <w:color w:val="000000"/>
          <w:sz w:val="28"/>
          <w:szCs w:val="28"/>
          <w:highlight w:val="none"/>
          <w:u w:val="single"/>
        </w:rPr>
        <w:t xml:space="preserve">                      </w:t>
      </w:r>
    </w:p>
    <w:p>
      <w:pPr>
        <w:jc w:val="cente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u w:val="single"/>
          <w:lang w:val="en-US" w:eastAsia="zh-CN"/>
        </w:rPr>
      </w:pPr>
      <w:r>
        <w:rPr>
          <w:rFonts w:hint="eastAsia" w:ascii="仿宋" w:hAnsi="仿宋" w:eastAsia="仿宋" w:cs="仿宋"/>
          <w:color w:val="000000"/>
          <w:sz w:val="28"/>
          <w:szCs w:val="28"/>
          <w:highlight w:val="none"/>
        </w:rPr>
        <w:t xml:space="preserve">         联系电话：</w:t>
      </w:r>
      <w:r>
        <w:rPr>
          <w:rFonts w:hint="eastAsia" w:ascii="仿宋" w:hAnsi="仿宋" w:eastAsia="仿宋" w:cs="仿宋"/>
          <w:color w:val="000000"/>
          <w:sz w:val="28"/>
          <w:szCs w:val="28"/>
          <w:highlight w:val="none"/>
          <w:u w:val="single"/>
        </w:rPr>
        <w:t xml:space="preserve">                          </w:t>
      </w:r>
    </w:p>
    <w:p>
      <w:pPr>
        <w:jc w:val="center"/>
        <w:rPr>
          <w:rFonts w:hint="eastAsia" w:ascii="仿宋" w:hAnsi="仿宋" w:eastAsia="仿宋" w:cs="仿宋"/>
          <w:color w:val="000000"/>
          <w:sz w:val="24"/>
          <w:highlight w:val="none"/>
        </w:rPr>
      </w:pPr>
    </w:p>
    <w:p>
      <w:pPr>
        <w:jc w:val="center"/>
        <w:rPr>
          <w:rFonts w:hint="eastAsia" w:ascii="仿宋" w:hAnsi="仿宋" w:eastAsia="仿宋" w:cs="仿宋"/>
          <w:color w:val="000000"/>
          <w:sz w:val="24"/>
          <w:highlight w:val="none"/>
        </w:rPr>
      </w:pPr>
    </w:p>
    <w:p>
      <w:pPr>
        <w:jc w:val="center"/>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参选日期：   年  月  日</w:t>
      </w:r>
    </w:p>
    <w:p>
      <w:pPr>
        <w:rPr>
          <w:rFonts w:hint="eastAsia" w:ascii="黑体" w:hAnsi="黑体" w:eastAsia="黑体" w:cs="黑体"/>
          <w:b w:val="0"/>
          <w:bCs/>
          <w:color w:val="000000"/>
          <w:sz w:val="32"/>
          <w:szCs w:val="32"/>
          <w:highlight w:val="none"/>
        </w:rPr>
      </w:pPr>
      <w:r>
        <w:rPr>
          <w:rFonts w:hint="eastAsia" w:ascii="宋体" w:hAnsi="宋体" w:cs="仿宋"/>
          <w:color w:val="000000"/>
          <w:sz w:val="28"/>
          <w:szCs w:val="28"/>
          <w:highlight w:val="none"/>
        </w:rPr>
        <w:br w:type="page"/>
      </w:r>
      <w:r>
        <w:rPr>
          <w:rFonts w:hint="eastAsia" w:ascii="宋体" w:hAnsi="宋体"/>
          <w:b/>
          <w:color w:val="000000"/>
          <w:sz w:val="32"/>
          <w:szCs w:val="32"/>
          <w:highlight w:val="none"/>
        </w:rPr>
        <w:t xml:space="preserve">           </w:t>
      </w:r>
      <w:r>
        <w:rPr>
          <w:rFonts w:hint="eastAsia" w:ascii="宋体" w:hAnsi="宋体"/>
          <w:b w:val="0"/>
          <w:bCs/>
          <w:color w:val="000000"/>
          <w:sz w:val="32"/>
          <w:szCs w:val="32"/>
          <w:highlight w:val="none"/>
        </w:rPr>
        <w:t xml:space="preserve">          </w:t>
      </w:r>
      <w:r>
        <w:rPr>
          <w:rFonts w:hint="eastAsia" w:ascii="黑体" w:hAnsi="黑体" w:eastAsia="黑体" w:cs="黑体"/>
          <w:b w:val="0"/>
          <w:bCs/>
          <w:color w:val="000000"/>
          <w:sz w:val="32"/>
          <w:szCs w:val="32"/>
          <w:highlight w:val="none"/>
        </w:rPr>
        <w:t xml:space="preserve"> 目    录</w:t>
      </w:r>
    </w:p>
    <w:p>
      <w:pPr>
        <w:rPr>
          <w:rFonts w:hint="eastAsia" w:ascii="黑体" w:hAnsi="黑体" w:eastAsia="黑体" w:cs="黑体"/>
          <w:b w:val="0"/>
          <w:bCs/>
          <w:color w:val="000000"/>
          <w:sz w:val="32"/>
          <w:szCs w:val="32"/>
          <w:highlight w:val="none"/>
        </w:rPr>
      </w:pPr>
      <w:r>
        <w:rPr>
          <w:rFonts w:hint="eastAsia" w:ascii="黑体" w:hAnsi="黑体" w:eastAsia="黑体" w:cs="黑体"/>
          <w:b w:val="0"/>
          <w:bCs/>
          <w:color w:val="000000"/>
          <w:sz w:val="32"/>
          <w:szCs w:val="32"/>
          <w:highlight w:val="none"/>
        </w:rPr>
        <w:t xml:space="preserve">                       </w:t>
      </w:r>
    </w:p>
    <w:p>
      <w:pPr>
        <w:rPr>
          <w:rFonts w:hint="eastAsia" w:ascii="黑体" w:hAnsi="黑体" w:eastAsia="黑体" w:cs="黑体"/>
          <w:b w:val="0"/>
          <w:bCs/>
          <w:color w:val="000000"/>
          <w:sz w:val="32"/>
          <w:szCs w:val="32"/>
          <w:highlight w:val="none"/>
        </w:rPr>
      </w:pPr>
      <w:r>
        <w:rPr>
          <w:rFonts w:hint="eastAsia" w:ascii="黑体" w:hAnsi="黑体" w:eastAsia="黑体" w:cs="黑体"/>
          <w:b w:val="0"/>
          <w:bCs/>
          <w:color w:val="000000"/>
          <w:sz w:val="32"/>
          <w:szCs w:val="32"/>
          <w:highlight w:val="none"/>
        </w:rPr>
        <w:t xml:space="preserve">                      格式自拟</w:t>
      </w: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rPr>
          <w:rFonts w:ascii="宋体" w:hAnsi="宋体"/>
          <w:b/>
          <w:color w:val="000000"/>
          <w:sz w:val="32"/>
          <w:szCs w:val="32"/>
          <w:highlight w:val="none"/>
        </w:rPr>
      </w:pPr>
    </w:p>
    <w:p>
      <w:pPr>
        <w:jc w:val="center"/>
        <w:rPr>
          <w:rFonts w:hint="eastAsia" w:ascii="黑体" w:hAnsi="黑体" w:eastAsia="黑体" w:cs="黑体"/>
          <w:b w:val="0"/>
          <w:bCs/>
          <w:color w:val="000000"/>
          <w:sz w:val="32"/>
          <w:szCs w:val="32"/>
          <w:highlight w:val="none"/>
        </w:rPr>
      </w:pPr>
      <w:r>
        <w:rPr>
          <w:rFonts w:hint="eastAsia" w:ascii="黑体" w:hAnsi="黑体" w:eastAsia="黑体" w:cs="黑体"/>
          <w:b w:val="0"/>
          <w:bCs/>
          <w:color w:val="000000"/>
          <w:sz w:val="32"/>
          <w:szCs w:val="32"/>
          <w:highlight w:val="none"/>
        </w:rPr>
        <w:t>一、法定代表人身份证明及授权委托书</w:t>
      </w:r>
    </w:p>
    <w:p>
      <w:pPr>
        <w:numPr>
          <w:ilvl w:val="-1"/>
          <w:numId w:val="0"/>
        </w:numPr>
        <w:ind w:left="420" w:firstLine="0"/>
        <w:jc w:val="center"/>
        <w:rPr>
          <w:rFonts w:hint="eastAsia" w:ascii="仿宋" w:hAnsi="仿宋" w:eastAsia="仿宋" w:cs="仿宋"/>
          <w:color w:val="000000"/>
          <w:sz w:val="36"/>
          <w:szCs w:val="36"/>
          <w:highlight w:val="none"/>
        </w:rPr>
      </w:pPr>
      <w:r>
        <w:rPr>
          <w:rFonts w:hint="eastAsia" w:ascii="楷体" w:hAnsi="楷体" w:eastAsia="楷体" w:cs="楷体"/>
          <w:color w:val="000000"/>
          <w:sz w:val="32"/>
          <w:szCs w:val="32"/>
          <w:highlight w:val="none"/>
          <w:lang w:eastAsia="zh-CN"/>
        </w:rPr>
        <w:t>（</w:t>
      </w:r>
      <w:r>
        <w:rPr>
          <w:rFonts w:hint="eastAsia" w:ascii="楷体" w:hAnsi="楷体" w:eastAsia="楷体" w:cs="楷体"/>
          <w:color w:val="000000"/>
          <w:sz w:val="32"/>
          <w:szCs w:val="32"/>
          <w:highlight w:val="none"/>
          <w:lang w:val="en-US" w:eastAsia="zh-CN"/>
        </w:rPr>
        <w:t>一</w:t>
      </w:r>
      <w:r>
        <w:rPr>
          <w:rFonts w:hint="eastAsia" w:ascii="楷体" w:hAnsi="楷体" w:eastAsia="楷体" w:cs="楷体"/>
          <w:color w:val="000000"/>
          <w:sz w:val="32"/>
          <w:szCs w:val="32"/>
          <w:highlight w:val="none"/>
          <w:lang w:eastAsia="zh-CN"/>
        </w:rPr>
        <w:t>）</w:t>
      </w:r>
      <w:r>
        <w:rPr>
          <w:rFonts w:hint="eastAsia" w:ascii="楷体" w:hAnsi="楷体" w:eastAsia="楷体" w:cs="楷体"/>
          <w:color w:val="000000"/>
          <w:sz w:val="32"/>
          <w:szCs w:val="32"/>
          <w:highlight w:val="none"/>
        </w:rPr>
        <w:t>法定代表人身份证明</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000000"/>
          <w:sz w:val="32"/>
          <w:szCs w:val="32"/>
          <w:highlight w:val="none"/>
          <w:u w:val="single"/>
        </w:rPr>
      </w:pPr>
      <w:r>
        <w:rPr>
          <w:rFonts w:hint="eastAsia" w:ascii="宋体" w:hAnsi="宋体"/>
          <w:color w:val="000000"/>
          <w:szCs w:val="21"/>
          <w:highlight w:val="none"/>
        </w:rPr>
        <w:t xml:space="preserve"> </w:t>
      </w:r>
      <w:r>
        <w:rPr>
          <w:rFonts w:hint="eastAsia" w:ascii="宋体" w:hAnsi="宋体"/>
          <w:color w:val="000000"/>
          <w:sz w:val="24"/>
          <w:highlight w:val="none"/>
        </w:rPr>
        <w:t xml:space="preserve"> </w:t>
      </w:r>
      <w:r>
        <w:rPr>
          <w:rFonts w:hint="eastAsia" w:ascii="宋体" w:hAnsi="宋体"/>
          <w:color w:val="000000"/>
          <w:sz w:val="32"/>
          <w:szCs w:val="32"/>
          <w:highlight w:val="none"/>
        </w:rPr>
        <w:t xml:space="preserve"> </w:t>
      </w:r>
      <w:r>
        <w:rPr>
          <w:rFonts w:hint="eastAsia" w:ascii="仿宋" w:hAnsi="仿宋" w:eastAsia="仿宋" w:cs="仿宋"/>
          <w:color w:val="000000"/>
          <w:sz w:val="32"/>
          <w:szCs w:val="32"/>
          <w:highlight w:val="none"/>
        </w:rPr>
        <w:t>参选人名称：</w:t>
      </w:r>
      <w:r>
        <w:rPr>
          <w:rFonts w:hint="eastAsia" w:ascii="仿宋" w:hAnsi="仿宋" w:eastAsia="仿宋" w:cs="仿宋"/>
          <w:color w:val="00000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000000"/>
          <w:sz w:val="32"/>
          <w:szCs w:val="32"/>
          <w:highlight w:val="none"/>
          <w:u w:val="single"/>
        </w:rPr>
      </w:pPr>
      <w:r>
        <w:rPr>
          <w:rFonts w:hint="eastAsia" w:ascii="仿宋" w:hAnsi="仿宋" w:eastAsia="仿宋" w:cs="仿宋"/>
          <w:color w:val="000000"/>
          <w:sz w:val="32"/>
          <w:szCs w:val="32"/>
          <w:highlight w:val="none"/>
        </w:rPr>
        <w:t xml:space="preserve">  单 位 性 质：</w:t>
      </w:r>
      <w:r>
        <w:rPr>
          <w:rFonts w:hint="eastAsia" w:ascii="仿宋" w:hAnsi="仿宋" w:eastAsia="仿宋" w:cs="仿宋"/>
          <w:color w:val="00000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000000"/>
          <w:sz w:val="32"/>
          <w:szCs w:val="32"/>
          <w:highlight w:val="none"/>
          <w:u w:val="single"/>
        </w:rPr>
      </w:pPr>
      <w:r>
        <w:rPr>
          <w:rFonts w:hint="eastAsia" w:ascii="仿宋" w:hAnsi="仿宋" w:eastAsia="仿宋" w:cs="仿宋"/>
          <w:color w:val="000000"/>
          <w:sz w:val="32"/>
          <w:szCs w:val="32"/>
          <w:highlight w:val="none"/>
        </w:rPr>
        <w:t xml:space="preserve">  地       址：</w:t>
      </w:r>
      <w:r>
        <w:rPr>
          <w:rFonts w:hint="eastAsia" w:ascii="仿宋" w:hAnsi="仿宋" w:eastAsia="仿宋" w:cs="仿宋"/>
          <w:color w:val="00000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  成立时间：</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年</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月</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日</w:t>
      </w:r>
    </w:p>
    <w:p>
      <w:pPr>
        <w:keepNext w:val="0"/>
        <w:keepLines w:val="0"/>
        <w:pageBreakBefore w:val="0"/>
        <w:widowControl w:val="0"/>
        <w:kinsoku/>
        <w:wordWrap/>
        <w:overflowPunct/>
        <w:topLinePunct w:val="0"/>
        <w:autoSpaceDE/>
        <w:autoSpaceDN/>
        <w:bidi w:val="0"/>
        <w:adjustRightInd/>
        <w:snapToGrid/>
        <w:spacing w:line="600" w:lineRule="exact"/>
        <w:ind w:firstLine="320" w:firstLineChars="100"/>
        <w:textAlignment w:val="auto"/>
        <w:rPr>
          <w:rFonts w:hint="eastAsia" w:ascii="仿宋" w:hAnsi="仿宋" w:eastAsia="仿宋" w:cs="仿宋"/>
          <w:color w:val="000000"/>
          <w:sz w:val="32"/>
          <w:szCs w:val="32"/>
          <w:highlight w:val="none"/>
          <w:u w:val="single"/>
        </w:rPr>
      </w:pPr>
      <w:r>
        <w:rPr>
          <w:rFonts w:hint="eastAsia" w:ascii="仿宋" w:hAnsi="仿宋" w:eastAsia="仿宋" w:cs="仿宋"/>
          <w:color w:val="000000"/>
          <w:sz w:val="32"/>
          <w:szCs w:val="32"/>
          <w:highlight w:val="none"/>
        </w:rPr>
        <w:t>姓名：</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 xml:space="preserve"> 性别：</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 xml:space="preserve"> 年龄：</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 xml:space="preserve">  职务：</w:t>
      </w:r>
      <w:r>
        <w:rPr>
          <w:rFonts w:hint="eastAsia" w:ascii="仿宋" w:hAnsi="仿宋" w:eastAsia="仿宋" w:cs="仿宋"/>
          <w:color w:val="00000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320" w:firstLineChars="1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系</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 xml:space="preserve"> （参选人名称）的法定代表人。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320" w:firstLineChars="1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特此证明。</w:t>
      </w:r>
    </w:p>
    <w:p>
      <w:pPr>
        <w:keepNext w:val="0"/>
        <w:keepLines w:val="0"/>
        <w:pageBreakBefore w:val="0"/>
        <w:widowControl w:val="0"/>
        <w:kinsoku/>
        <w:wordWrap/>
        <w:overflowPunct/>
        <w:topLinePunct w:val="0"/>
        <w:autoSpaceDE/>
        <w:autoSpaceDN/>
        <w:bidi w:val="0"/>
        <w:adjustRightInd/>
        <w:snapToGrid/>
        <w:spacing w:line="600" w:lineRule="exact"/>
        <w:ind w:firstLine="320" w:firstLineChars="100"/>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 xml:space="preserve">               </w:t>
      </w:r>
    </w:p>
    <w:p>
      <w:pPr>
        <w:spacing w:line="600" w:lineRule="exact"/>
        <w:ind w:firstLine="320" w:firstLineChars="1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附法定代表人身份证复印件</w:t>
      </w:r>
    </w:p>
    <w:p>
      <w:pPr>
        <w:keepNext w:val="0"/>
        <w:keepLines w:val="0"/>
        <w:spacing w:line="600" w:lineRule="exact"/>
        <w:ind w:firstLine="320" w:firstLineChars="100"/>
        <w:rPr>
          <w:rFonts w:hint="eastAsia" w:ascii="仿宋" w:hAnsi="仿宋" w:eastAsia="仿宋" w:cs="仿宋"/>
          <w:color w:val="000000"/>
          <w:sz w:val="32"/>
          <w:szCs w:val="32"/>
          <w:highlight w:val="none"/>
        </w:rPr>
      </w:pPr>
    </w:p>
    <w:p>
      <w:pPr>
        <w:spacing w:line="600" w:lineRule="exact"/>
        <w:ind w:firstLine="320" w:firstLineChars="100"/>
        <w:rPr>
          <w:rFonts w:hint="eastAsia" w:ascii="仿宋" w:hAnsi="仿宋" w:eastAsia="仿宋" w:cs="仿宋"/>
          <w:color w:val="000000"/>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参选人：</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（单位盖章）</w:t>
      </w:r>
    </w:p>
    <w:p>
      <w:pPr>
        <w:keepNext w:val="0"/>
        <w:keepLines w:val="0"/>
        <w:pageBreakBefore w:val="0"/>
        <w:widowControl w:val="0"/>
        <w:kinsoku/>
        <w:wordWrap/>
        <w:overflowPunct/>
        <w:topLinePunct w:val="0"/>
        <w:autoSpaceDE/>
        <w:autoSpaceDN/>
        <w:bidi w:val="0"/>
        <w:adjustRightInd/>
        <w:snapToGrid/>
        <w:spacing w:line="600" w:lineRule="exact"/>
        <w:ind w:firstLine="320" w:firstLineChars="100"/>
        <w:jc w:val="righ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32"/>
          <w:szCs w:val="32"/>
          <w:highlight w:val="none"/>
        </w:rPr>
        <w:t xml:space="preserve"> </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年</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月</w:t>
      </w:r>
      <w:r>
        <w:rPr>
          <w:rFonts w:hint="eastAsia" w:ascii="仿宋" w:hAnsi="仿宋" w:eastAsia="仿宋" w:cs="仿宋"/>
          <w:color w:val="000000"/>
          <w:sz w:val="32"/>
          <w:szCs w:val="32"/>
          <w:highlight w:val="none"/>
          <w:u w:val="single"/>
        </w:rPr>
        <w:t xml:space="preserve">   </w:t>
      </w:r>
      <w:r>
        <w:rPr>
          <w:rFonts w:hint="eastAsia" w:ascii="仿宋" w:hAnsi="仿宋" w:eastAsia="仿宋" w:cs="仿宋"/>
          <w:color w:val="000000"/>
          <w:sz w:val="32"/>
          <w:szCs w:val="32"/>
          <w:highlight w:val="none"/>
        </w:rPr>
        <w:t>日</w:t>
      </w:r>
    </w:p>
    <w:p>
      <w:pPr>
        <w:ind w:firstLine="280" w:firstLineChars="100"/>
        <w:rPr>
          <w:rFonts w:ascii="宋体" w:hAnsi="宋体"/>
          <w:color w:val="000000"/>
          <w:sz w:val="28"/>
          <w:szCs w:val="28"/>
          <w:highlight w:val="none"/>
        </w:rPr>
      </w:pPr>
    </w:p>
    <w:p>
      <w:pPr>
        <w:ind w:firstLine="280" w:firstLineChars="100"/>
        <w:rPr>
          <w:rFonts w:ascii="宋体" w:hAnsi="宋体"/>
          <w:color w:val="000000"/>
          <w:sz w:val="28"/>
          <w:szCs w:val="28"/>
          <w:highlight w:val="none"/>
        </w:rPr>
      </w:pPr>
    </w:p>
    <w:p>
      <w:pPr>
        <w:ind w:firstLine="280" w:firstLineChars="100"/>
        <w:rPr>
          <w:rFonts w:ascii="宋体" w:hAnsi="宋体"/>
          <w:color w:val="000000"/>
          <w:sz w:val="28"/>
          <w:szCs w:val="28"/>
          <w:highlight w:val="none"/>
        </w:rPr>
      </w:pPr>
    </w:p>
    <w:p>
      <w:pPr>
        <w:ind w:firstLine="280" w:firstLineChars="100"/>
        <w:rPr>
          <w:rFonts w:ascii="宋体" w:hAnsi="宋体"/>
          <w:color w:val="000000"/>
          <w:sz w:val="28"/>
          <w:szCs w:val="28"/>
          <w:highlight w:val="none"/>
        </w:rPr>
      </w:pPr>
    </w:p>
    <w:p>
      <w:pPr>
        <w:pStyle w:val="2"/>
      </w:pPr>
    </w:p>
    <w:p>
      <w:pPr>
        <w:ind w:firstLine="280" w:firstLineChars="100"/>
        <w:rPr>
          <w:rFonts w:ascii="宋体" w:hAnsi="宋体"/>
          <w:color w:val="000000"/>
          <w:sz w:val="28"/>
          <w:szCs w:val="28"/>
          <w:highlight w:val="none"/>
        </w:rPr>
      </w:pPr>
    </w:p>
    <w:p>
      <w:pPr>
        <w:ind w:firstLine="280" w:firstLineChars="100"/>
        <w:rPr>
          <w:rFonts w:ascii="宋体" w:hAnsi="宋体"/>
          <w:color w:val="000000"/>
          <w:sz w:val="28"/>
          <w:szCs w:val="28"/>
          <w:highlight w:val="none"/>
        </w:rPr>
      </w:pPr>
    </w:p>
    <w:p>
      <w:pPr>
        <w:ind w:firstLine="280" w:firstLineChars="100"/>
        <w:rPr>
          <w:rFonts w:ascii="宋体" w:hAnsi="宋体"/>
          <w:color w:val="000000"/>
          <w:sz w:val="28"/>
          <w:szCs w:val="28"/>
          <w:highlight w:val="none"/>
        </w:rPr>
      </w:pPr>
    </w:p>
    <w:p>
      <w:pPr>
        <w:numPr>
          <w:ilvl w:val="-1"/>
          <w:numId w:val="0"/>
        </w:numPr>
        <w:tabs>
          <w:tab w:val="left" w:pos="1080"/>
        </w:tabs>
        <w:ind w:left="0" w:firstLine="0"/>
        <w:jc w:val="center"/>
        <w:rPr>
          <w:rFonts w:hint="eastAsia" w:ascii="楷体" w:hAnsi="楷体" w:eastAsia="楷体" w:cs="楷体"/>
          <w:color w:val="000000"/>
          <w:sz w:val="32"/>
          <w:szCs w:val="32"/>
          <w:highlight w:val="none"/>
        </w:rPr>
      </w:pPr>
      <w:r>
        <w:rPr>
          <w:rFonts w:hint="eastAsia" w:ascii="楷体" w:hAnsi="楷体" w:eastAsia="楷体" w:cs="楷体"/>
          <w:color w:val="000000"/>
          <w:sz w:val="32"/>
          <w:szCs w:val="32"/>
          <w:highlight w:val="none"/>
          <w:lang w:eastAsia="zh-CN"/>
        </w:rPr>
        <w:t>（</w:t>
      </w:r>
      <w:r>
        <w:rPr>
          <w:rFonts w:hint="eastAsia" w:ascii="楷体" w:hAnsi="楷体" w:eastAsia="楷体" w:cs="楷体"/>
          <w:color w:val="000000"/>
          <w:sz w:val="32"/>
          <w:szCs w:val="32"/>
          <w:highlight w:val="none"/>
          <w:lang w:val="en-US" w:eastAsia="zh-CN"/>
        </w:rPr>
        <w:t>二</w:t>
      </w:r>
      <w:r>
        <w:rPr>
          <w:rFonts w:hint="eastAsia" w:ascii="楷体" w:hAnsi="楷体" w:eastAsia="楷体" w:cs="楷体"/>
          <w:color w:val="000000"/>
          <w:sz w:val="32"/>
          <w:szCs w:val="32"/>
          <w:highlight w:val="none"/>
          <w:lang w:eastAsia="zh-CN"/>
        </w:rPr>
        <w:t>）</w:t>
      </w:r>
      <w:r>
        <w:rPr>
          <w:rFonts w:hint="eastAsia" w:ascii="楷体" w:hAnsi="楷体" w:eastAsia="楷体" w:cs="楷体"/>
          <w:color w:val="000000"/>
          <w:sz w:val="32"/>
          <w:szCs w:val="32"/>
          <w:highlight w:val="none"/>
        </w:rPr>
        <w:t>法定代表人授权委托书</w:t>
      </w:r>
    </w:p>
    <w:p>
      <w:pPr>
        <w:ind w:left="420" w:leftChars="200" w:firstLine="560" w:firstLineChars="200"/>
        <w:rPr>
          <w:rFonts w:ascii="宋体" w:hAnsi="宋体"/>
          <w:color w:val="000000"/>
          <w:sz w:val="28"/>
          <w:szCs w:val="28"/>
          <w:highlight w:val="none"/>
        </w:rPr>
      </w:pPr>
    </w:p>
    <w:p>
      <w:pPr>
        <w:topLinePunct/>
        <w:spacing w:line="60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（姓名）系</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参选</w:t>
      </w:r>
      <w:r>
        <w:rPr>
          <w:rFonts w:hint="eastAsia" w:ascii="仿宋" w:hAnsi="仿宋" w:eastAsia="仿宋" w:cs="仿宋"/>
          <w:sz w:val="32"/>
          <w:szCs w:val="32"/>
          <w:highlight w:val="none"/>
        </w:rPr>
        <w:t>供应商名称）的法定代表人，现委托</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（姓名）为我方代理人。代理人根据授权，以我方名义签署、澄清、说明、补正、递交、撤回、修改</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（项目名称）竞争性</w:t>
      </w:r>
      <w:r>
        <w:rPr>
          <w:rFonts w:hint="eastAsia" w:ascii="仿宋" w:hAnsi="仿宋" w:eastAsia="仿宋" w:cs="仿宋"/>
          <w:sz w:val="32"/>
          <w:szCs w:val="32"/>
          <w:highlight w:val="none"/>
          <w:lang w:val="en-US" w:eastAsia="zh-CN"/>
        </w:rPr>
        <w:t>比选</w:t>
      </w:r>
      <w:r>
        <w:rPr>
          <w:rFonts w:hint="eastAsia" w:ascii="仿宋" w:hAnsi="仿宋" w:eastAsia="仿宋" w:cs="仿宋"/>
          <w:sz w:val="32"/>
          <w:szCs w:val="32"/>
          <w:highlight w:val="none"/>
        </w:rPr>
        <w:t>响应文件、签订合同和处理有关事宜等，其法律后果由我方承担。</w:t>
      </w:r>
    </w:p>
    <w:p>
      <w:pPr>
        <w:spacing w:line="600"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委托期限：</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 xml:space="preserve">  </w:t>
      </w:r>
      <w:r>
        <w:rPr>
          <w:rFonts w:hint="eastAsia" w:ascii="仿宋" w:hAnsi="仿宋" w:eastAsia="仿宋" w:cs="仿宋"/>
          <w:sz w:val="32"/>
          <w:szCs w:val="32"/>
          <w:highlight w:val="none"/>
          <w:u w:val="single"/>
        </w:rPr>
        <w:t>日历天</w:t>
      </w:r>
      <w:r>
        <w:rPr>
          <w:rFonts w:hint="eastAsia" w:ascii="仿宋" w:hAnsi="仿宋" w:eastAsia="仿宋" w:cs="仿宋"/>
          <w:sz w:val="32"/>
          <w:szCs w:val="32"/>
          <w:highlight w:val="none"/>
          <w:u w:val="single"/>
          <w:lang w:val="en-US" w:eastAsia="zh-CN"/>
        </w:rPr>
        <w:t xml:space="preserve"> </w:t>
      </w:r>
      <w:r>
        <w:rPr>
          <w:rFonts w:hint="eastAsia" w:ascii="仿宋" w:hAnsi="仿宋" w:eastAsia="仿宋" w:cs="仿宋"/>
          <w:sz w:val="32"/>
          <w:szCs w:val="32"/>
          <w:highlight w:val="none"/>
        </w:rPr>
        <w:t>。</w:t>
      </w:r>
    </w:p>
    <w:p>
      <w:pPr>
        <w:spacing w:line="60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代理人无转委托权。</w:t>
      </w:r>
    </w:p>
    <w:p>
      <w:pPr>
        <w:spacing w:line="600" w:lineRule="exact"/>
        <w:rPr>
          <w:rFonts w:hint="eastAsia" w:ascii="仿宋" w:hAnsi="仿宋" w:eastAsia="仿宋" w:cs="仿宋"/>
          <w:sz w:val="32"/>
          <w:szCs w:val="32"/>
          <w:highlight w:val="none"/>
        </w:rPr>
      </w:pPr>
    </w:p>
    <w:p>
      <w:pPr>
        <w:spacing w:line="600" w:lineRule="exact"/>
        <w:ind w:firstLine="320" w:firstLineChars="1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附</w:t>
      </w:r>
      <w:r>
        <w:rPr>
          <w:rFonts w:hint="eastAsia" w:ascii="仿宋" w:hAnsi="仿宋" w:eastAsia="仿宋" w:cs="仿宋"/>
          <w:color w:val="000000"/>
          <w:sz w:val="32"/>
          <w:szCs w:val="32"/>
          <w:highlight w:val="none"/>
          <w:lang w:val="en-US" w:eastAsia="zh-CN"/>
        </w:rPr>
        <w:t>双方</w:t>
      </w:r>
      <w:r>
        <w:rPr>
          <w:rFonts w:hint="eastAsia" w:ascii="仿宋" w:hAnsi="仿宋" w:eastAsia="仿宋" w:cs="仿宋"/>
          <w:color w:val="000000"/>
          <w:sz w:val="32"/>
          <w:szCs w:val="32"/>
          <w:highlight w:val="none"/>
        </w:rPr>
        <w:t>身份证复印件</w:t>
      </w:r>
    </w:p>
    <w:p>
      <w:pPr>
        <w:spacing w:line="600" w:lineRule="exact"/>
        <w:rPr>
          <w:rFonts w:hint="eastAsia" w:ascii="仿宋" w:hAnsi="仿宋" w:eastAsia="仿宋" w:cs="仿宋"/>
          <w:sz w:val="32"/>
          <w:szCs w:val="32"/>
          <w:highlight w:val="none"/>
        </w:rPr>
      </w:pPr>
    </w:p>
    <w:p>
      <w:pPr>
        <w:spacing w:line="600" w:lineRule="exact"/>
        <w:rPr>
          <w:rFonts w:hint="eastAsia" w:ascii="仿宋" w:hAnsi="仿宋" w:eastAsia="仿宋" w:cs="仿宋"/>
          <w:sz w:val="32"/>
          <w:szCs w:val="32"/>
          <w:highlight w:val="none"/>
        </w:rPr>
      </w:pPr>
    </w:p>
    <w:p>
      <w:pPr>
        <w:spacing w:line="600" w:lineRule="exact"/>
        <w:rPr>
          <w:rFonts w:hint="eastAsia" w:ascii="仿宋" w:hAnsi="仿宋" w:eastAsia="仿宋" w:cs="仿宋"/>
          <w:sz w:val="32"/>
          <w:szCs w:val="32"/>
          <w:highlight w:val="none"/>
        </w:rPr>
      </w:pPr>
    </w:p>
    <w:p>
      <w:pPr>
        <w:spacing w:line="600" w:lineRule="exact"/>
        <w:rPr>
          <w:rFonts w:hint="eastAsia" w:ascii="仿宋" w:hAnsi="仿宋" w:eastAsia="仿宋" w:cs="仿宋"/>
          <w:sz w:val="32"/>
          <w:szCs w:val="32"/>
          <w:highlight w:val="none"/>
        </w:rPr>
      </w:pPr>
    </w:p>
    <w:p>
      <w:pPr>
        <w:spacing w:line="600" w:lineRule="exact"/>
        <w:ind w:firstLine="0" w:firstLineChars="0"/>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参选</w:t>
      </w:r>
      <w:r>
        <w:rPr>
          <w:rFonts w:hint="eastAsia" w:ascii="仿宋" w:hAnsi="仿宋" w:eastAsia="仿宋" w:cs="仿宋"/>
          <w:sz w:val="32"/>
          <w:szCs w:val="32"/>
          <w:highlight w:val="none"/>
        </w:rPr>
        <w:t>供应商：</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（盖单位章）</w:t>
      </w:r>
    </w:p>
    <w:p>
      <w:pPr>
        <w:spacing w:line="600" w:lineRule="exact"/>
        <w:ind w:firstLine="0" w:firstLineChars="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（签字或盖章）</w:t>
      </w:r>
    </w:p>
    <w:p>
      <w:pPr>
        <w:spacing w:line="600" w:lineRule="exact"/>
        <w:ind w:firstLine="0" w:firstLineChars="0"/>
        <w:rPr>
          <w:rFonts w:hint="eastAsia" w:ascii="仿宋" w:hAnsi="仿宋" w:eastAsia="仿宋" w:cs="仿宋"/>
          <w:sz w:val="32"/>
          <w:szCs w:val="32"/>
          <w:highlight w:val="none"/>
        </w:rPr>
      </w:pPr>
      <w:r>
        <w:rPr>
          <w:rFonts w:hint="eastAsia" w:ascii="仿宋" w:hAnsi="仿宋" w:eastAsia="仿宋" w:cs="仿宋"/>
          <w:sz w:val="32"/>
          <w:szCs w:val="32"/>
          <w:highlight w:val="none"/>
        </w:rPr>
        <w:t>身份证号码：</w:t>
      </w:r>
      <w:r>
        <w:rPr>
          <w:rFonts w:hint="eastAsia" w:ascii="仿宋" w:hAnsi="仿宋" w:eastAsia="仿宋" w:cs="仿宋"/>
          <w:sz w:val="32"/>
          <w:szCs w:val="32"/>
          <w:highlight w:val="none"/>
          <w:u w:val="single"/>
        </w:rPr>
        <w:t xml:space="preserve">                              </w:t>
      </w:r>
    </w:p>
    <w:p>
      <w:pPr>
        <w:spacing w:line="600" w:lineRule="exact"/>
        <w:ind w:firstLine="0" w:firstLineChars="0"/>
        <w:rPr>
          <w:rFonts w:hint="eastAsia" w:ascii="仿宋" w:hAnsi="仿宋" w:eastAsia="仿宋" w:cs="仿宋"/>
          <w:sz w:val="32"/>
          <w:szCs w:val="32"/>
          <w:highlight w:val="none"/>
        </w:rPr>
      </w:pPr>
      <w:r>
        <w:rPr>
          <w:rFonts w:hint="eastAsia" w:ascii="仿宋" w:hAnsi="仿宋" w:eastAsia="仿宋" w:cs="仿宋"/>
          <w:sz w:val="32"/>
          <w:szCs w:val="32"/>
          <w:highlight w:val="none"/>
        </w:rPr>
        <w:t>委托代理人：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（签字） </w:t>
      </w:r>
    </w:p>
    <w:p>
      <w:pPr>
        <w:spacing w:line="600" w:lineRule="exact"/>
        <w:ind w:firstLine="0" w:firstLineChars="0"/>
        <w:rPr>
          <w:rFonts w:hint="eastAsia" w:ascii="仿宋" w:hAnsi="仿宋" w:eastAsia="仿宋" w:cs="仿宋"/>
          <w:sz w:val="32"/>
          <w:szCs w:val="32"/>
          <w:highlight w:val="none"/>
        </w:rPr>
      </w:pPr>
      <w:r>
        <w:rPr>
          <w:rFonts w:hint="eastAsia" w:ascii="仿宋" w:hAnsi="仿宋" w:eastAsia="仿宋" w:cs="仿宋"/>
          <w:sz w:val="32"/>
          <w:szCs w:val="32"/>
          <w:highlight w:val="none"/>
        </w:rPr>
        <w:t>身份证号码：</w:t>
      </w:r>
      <w:r>
        <w:rPr>
          <w:rFonts w:hint="eastAsia" w:ascii="仿宋" w:hAnsi="仿宋" w:eastAsia="仿宋" w:cs="仿宋"/>
          <w:sz w:val="32"/>
          <w:szCs w:val="32"/>
          <w:highlight w:val="none"/>
          <w:u w:val="single"/>
        </w:rPr>
        <w:t xml:space="preserve">                              </w:t>
      </w:r>
    </w:p>
    <w:p>
      <w:pPr>
        <w:spacing w:line="600" w:lineRule="exact"/>
        <w:ind w:firstLine="2240" w:firstLineChars="700"/>
        <w:jc w:val="both"/>
        <w:rPr>
          <w:rFonts w:hint="eastAsia" w:ascii="仿宋" w:hAnsi="仿宋" w:eastAsia="仿宋" w:cs="仿宋"/>
          <w:sz w:val="32"/>
          <w:szCs w:val="32"/>
          <w:highlight w:val="none"/>
        </w:rPr>
      </w:pP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日</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 w:hAnsi="仿宋" w:eastAsia="仿宋" w:cs="仿宋"/>
          <w:b/>
          <w:bCs/>
          <w:sz w:val="32"/>
          <w:szCs w:val="32"/>
          <w:highlight w:val="none"/>
          <w:lang w:val="en-US" w:eastAsia="zh-CN"/>
        </w:rPr>
      </w:pPr>
    </w:p>
    <w:p>
      <w:pPr>
        <w:numPr>
          <w:ilvl w:val="0"/>
          <w:numId w:val="3"/>
        </w:numPr>
        <w:spacing w:line="540" w:lineRule="exact"/>
        <w:ind w:left="0" w:leftChars="0" w:firstLine="0" w:firstLineChars="0"/>
        <w:jc w:val="center"/>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采购费用报价表</w:t>
      </w:r>
    </w:p>
    <w:p>
      <w:pPr>
        <w:keepNext w:val="0"/>
        <w:keepLines w:val="0"/>
        <w:pageBreakBefore w:val="0"/>
        <w:widowControl w:val="0"/>
        <w:kinsoku/>
        <w:wordWrap/>
        <w:overflowPunct/>
        <w:topLinePunct w:val="0"/>
        <w:autoSpaceDE/>
        <w:autoSpaceDN/>
        <w:bidi w:val="0"/>
        <w:adjustRightInd/>
        <w:snapToGrid/>
        <w:spacing w:before="68" w:line="240" w:lineRule="auto"/>
        <w:ind w:right="25" w:rightChars="12"/>
        <w:jc w:val="right"/>
        <w:textAlignment w:val="auto"/>
        <w:rPr>
          <w:rFonts w:ascii="宋体" w:hAnsi="宋体" w:eastAsia="宋体" w:cs="宋体"/>
          <w:spacing w:val="-4"/>
          <w:highlight w:val="none"/>
        </w:rPr>
      </w:pPr>
      <w:r>
        <w:rPr>
          <w:rFonts w:ascii="宋体" w:hAnsi="宋体" w:eastAsia="宋体" w:cs="宋体"/>
          <w:spacing w:val="-4"/>
          <w:highlight w:val="none"/>
        </w:rPr>
        <w:t>单位：人民币元</w:t>
      </w:r>
    </w:p>
    <w:tbl>
      <w:tblPr>
        <w:tblStyle w:val="16"/>
        <w:tblpPr w:leftFromText="180" w:rightFromText="180" w:vertAnchor="text" w:horzAnchor="page" w:tblpX="1396" w:tblpY="612"/>
        <w:tblOverlap w:val="never"/>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642"/>
        <w:gridCol w:w="823"/>
        <w:gridCol w:w="823"/>
        <w:gridCol w:w="823"/>
        <w:gridCol w:w="823"/>
        <w:gridCol w:w="2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38"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序号</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分项工程名称</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tabs>
                <w:tab w:val="left" w:pos="420"/>
                <w:tab w:val="left" w:pos="700"/>
              </w:tabs>
              <w:ind w:left="-120" w:leftChars="-57" w:right="-71" w:rightChars="-34" w:firstLine="0" w:firstLineChars="0"/>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工程量</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单位</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单价</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金额</w:t>
            </w: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bCs w:val="0"/>
                <w:color w:val="000000"/>
                <w:vertAlign w:val="baseline"/>
                <w:lang w:val="en-US" w:eastAsia="zh-CN"/>
              </w:rPr>
            </w:pPr>
            <w:r>
              <w:rPr>
                <w:rFonts w:hint="eastAsia" w:ascii="仿宋" w:hAnsi="仿宋" w:eastAsia="仿宋" w:cs="仿宋"/>
                <w:b/>
                <w:bCs w:val="0"/>
                <w:color w:val="000000"/>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r>
              <w:rPr>
                <w:rFonts w:hint="eastAsia" w:ascii="仿宋" w:hAnsi="仿宋" w:eastAsia="仿宋" w:cs="仿宋"/>
                <w:b w:val="0"/>
                <w:bCs w:val="0"/>
                <w:color w:val="000000"/>
                <w:sz w:val="21"/>
                <w:szCs w:val="21"/>
                <w:vertAlign w:val="baseline"/>
                <w:lang w:val="en-US" w:eastAsia="zh-CN"/>
              </w:rPr>
              <w:t>一</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顶楼发光字部分制作</w:t>
            </w:r>
          </w:p>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及安装</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2</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套</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规格：长27米x高6.5米，</w:t>
            </w:r>
          </w:p>
          <w:p>
            <w:pPr>
              <w:rPr>
                <w:rFonts w:hint="eastAsia" w:ascii="仿宋" w:hAnsi="仿宋" w:eastAsia="仿宋" w:cs="仿宋"/>
                <w:lang w:val="en-US" w:eastAsia="zh-CN"/>
              </w:rPr>
            </w:pPr>
            <w:r>
              <w:rPr>
                <w:rFonts w:hint="eastAsia" w:ascii="仿宋" w:hAnsi="仿宋" w:eastAsia="仿宋" w:cs="仿宋"/>
                <w:lang w:val="en-US" w:eastAsia="zh-CN"/>
              </w:rPr>
              <w:t>制作要求：</w:t>
            </w:r>
          </w:p>
          <w:p>
            <w:pPr>
              <w:rPr>
                <w:rFonts w:hint="eastAsia" w:ascii="仿宋" w:hAnsi="仿宋" w:eastAsia="仿宋" w:cs="仿宋"/>
                <w:lang w:val="en-US" w:eastAsia="zh-CN"/>
              </w:rPr>
            </w:pPr>
            <w:r>
              <w:rPr>
                <w:rFonts w:hint="eastAsia" w:ascii="仿宋" w:hAnsi="仿宋" w:eastAsia="仿宋" w:cs="仿宋"/>
                <w:lang w:val="en-US" w:eastAsia="zh-CN"/>
              </w:rPr>
              <w:t>1.文字面板采用3.0mm铝板激光冲孔，侧边采用3.0mm铝板折边焊接，整体刮灰打磨，烤氟碳漆三遍;</w:t>
            </w:r>
          </w:p>
          <w:p>
            <w:pPr>
              <w:rPr>
                <w:rFonts w:hint="eastAsia" w:ascii="仿宋" w:hAnsi="仿宋" w:eastAsia="仿宋" w:cs="仿宋"/>
                <w:lang w:val="en-US" w:eastAsia="zh-CN"/>
              </w:rPr>
            </w:pPr>
            <w:r>
              <w:rPr>
                <w:rFonts w:hint="eastAsia" w:ascii="仿宋" w:hAnsi="仿宋" w:eastAsia="仿宋" w:cs="仿宋"/>
                <w:lang w:val="en-US" w:eastAsia="zh-CN"/>
              </w:rPr>
              <w:t>2采用直径9MML E D户外防水灯珠，灯珠间距在3.5CM，每颗灯珠为0.2瓦，每平米灯珠约为300颗，约60 瓦;</w:t>
            </w:r>
          </w:p>
          <w:p>
            <w:pP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3.logo采用2.0nm镀锌板封背板，整体做防水防锈处理。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二</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0"/>
                <w:sz w:val="21"/>
                <w:szCs w:val="21"/>
                <w:u w:val="none"/>
                <w:lang w:val="en-US" w:eastAsia="zh-CN" w:bidi="ar"/>
              </w:rPr>
              <w:t>镀锌板烤漆字制作及安装</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一号大门出入口处公司名称标牌制作及安装</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0"/>
                <w:sz w:val="21"/>
                <w:szCs w:val="21"/>
                <w:u w:val="none"/>
                <w:lang w:val="en-US" w:eastAsia="zh-CN" w:bidi="ar"/>
              </w:rPr>
              <w:t>套</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2</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二号大门出入口处公司名称标牌制作及安装</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0"/>
                <w:sz w:val="21"/>
                <w:szCs w:val="21"/>
                <w:u w:val="none"/>
                <w:lang w:val="en-US" w:eastAsia="zh-CN" w:bidi="ar"/>
              </w:rPr>
              <w:t>套</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i w:val="0"/>
                <w:iCs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三</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原字拆除清运</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项</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包含顶楼发光字和一、二号大门出入口处名称标牌拆除及清运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四</w:t>
            </w: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质量安全检测费</w:t>
            </w:r>
          </w:p>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（包含两年2024年和2025年检测费用）</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1</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项</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val="0"/>
                <w:i w:val="0"/>
                <w:iCs w:val="0"/>
                <w:color w:val="000000"/>
                <w:kern w:val="2"/>
                <w:sz w:val="21"/>
                <w:szCs w:val="21"/>
                <w:u w:val="none"/>
                <w:lang w:val="en-US" w:eastAsia="zh-CN" w:bidi="ar-SA"/>
              </w:rPr>
            </w:pPr>
            <w:r>
              <w:rPr>
                <w:rFonts w:hint="eastAsia" w:ascii="仿宋" w:hAnsi="仿宋" w:eastAsia="仿宋" w:cs="仿宋"/>
                <w:b w:val="0"/>
                <w:bCs w:val="0"/>
                <w:i w:val="0"/>
                <w:iCs w:val="0"/>
                <w:color w:val="000000"/>
                <w:kern w:val="2"/>
                <w:sz w:val="21"/>
                <w:szCs w:val="21"/>
                <w:u w:val="none"/>
                <w:lang w:val="en-US" w:eastAsia="zh-CN" w:bidi="ar-SA"/>
              </w:rPr>
              <w:t>发光字体制作安装完成后，须经有资质的检测单位安全检测合格，提供检测报告。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color w:val="000000"/>
                <w:sz w:val="21"/>
                <w:szCs w:val="21"/>
                <w:vertAlign w:val="baseline"/>
                <w:lang w:val="en-US" w:eastAsia="zh-CN"/>
              </w:rPr>
            </w:pPr>
          </w:p>
        </w:tc>
        <w:tc>
          <w:tcPr>
            <w:tcW w:w="26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合计</w:t>
            </w: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i w:val="0"/>
                <w:iCs w:val="0"/>
                <w:color w:val="000000"/>
                <w:kern w:val="0"/>
                <w:sz w:val="21"/>
                <w:szCs w:val="21"/>
                <w:u w:val="none"/>
                <w:lang w:val="en-US" w:eastAsia="zh-CN" w:bidi="ar"/>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val="0"/>
                <w:i w:val="0"/>
                <w:iCs w:val="0"/>
                <w:color w:val="000000"/>
                <w:kern w:val="0"/>
                <w:sz w:val="21"/>
                <w:szCs w:val="21"/>
                <w:u w:val="none"/>
                <w:lang w:val="en-US" w:eastAsia="zh-CN" w:bidi="ar"/>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color w:val="000000"/>
                <w:sz w:val="21"/>
                <w:szCs w:val="21"/>
                <w:vertAlign w:val="baseli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color w:val="000000"/>
                <w:sz w:val="21"/>
                <w:szCs w:val="21"/>
                <w:vertAlign w:val="baseline"/>
                <w:lang w:val="en-US" w:eastAsia="zh-CN"/>
              </w:rPr>
            </w:pPr>
          </w:p>
        </w:tc>
        <w:tc>
          <w:tcPr>
            <w:tcW w:w="2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color w:val="000000"/>
                <w:sz w:val="21"/>
                <w:szCs w:val="21"/>
                <w:vertAlign w:val="baseline"/>
                <w:lang w:val="en-US" w:eastAsia="zh-CN"/>
              </w:rPr>
            </w:pPr>
            <w:r>
              <w:rPr>
                <w:rFonts w:hint="eastAsia" w:ascii="仿宋" w:hAnsi="仿宋" w:eastAsia="仿宋" w:cs="仿宋"/>
                <w:b w:val="0"/>
                <w:bCs/>
                <w:color w:val="000000"/>
                <w:vertAlign w:val="baseline"/>
                <w:lang w:val="en-US" w:eastAsia="zh-CN"/>
              </w:rPr>
              <w:t>备注</w:t>
            </w:r>
          </w:p>
        </w:tc>
        <w:tc>
          <w:tcPr>
            <w:tcW w:w="8887"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b w:val="0"/>
                <w:bCs/>
                <w:color w:val="000000"/>
                <w:sz w:val="21"/>
                <w:szCs w:val="21"/>
                <w:vertAlign w:val="baseline"/>
                <w:lang w:val="en-US" w:eastAsia="zh-CN"/>
              </w:rPr>
            </w:pPr>
            <w:r>
              <w:rPr>
                <w:rFonts w:hint="eastAsia" w:ascii="仿宋" w:hAnsi="仿宋" w:eastAsia="仿宋" w:cs="仿宋"/>
                <w:b w:val="0"/>
                <w:bCs/>
                <w:color w:val="000000"/>
                <w:vertAlign w:val="baseline"/>
                <w:lang w:val="en-US" w:eastAsia="zh-CN"/>
              </w:rPr>
              <w:t>以上报价含设计、深化、制作、运输、安装、辅材、税金。</w:t>
            </w:r>
          </w:p>
        </w:tc>
      </w:tr>
    </w:tbl>
    <w:p>
      <w:pPr>
        <w:pStyle w:val="2"/>
        <w:rPr>
          <w:rFonts w:hint="eastAsia"/>
          <w:lang w:val="en-US" w:eastAsia="zh-CN"/>
        </w:rPr>
      </w:pPr>
    </w:p>
    <w:p>
      <w:pPr>
        <w:pStyle w:val="2"/>
        <w:rPr>
          <w:rFonts w:hint="eastAsia"/>
          <w:b w:val="0"/>
          <w:bCs/>
          <w:lang w:val="en-US" w:eastAsia="zh-CN"/>
        </w:rPr>
      </w:pPr>
      <w:r>
        <w:rPr>
          <w:rFonts w:hint="eastAsia"/>
          <w:b w:val="0"/>
          <w:bCs/>
          <w:lang w:val="en-US" w:eastAsia="zh-CN"/>
        </w:rPr>
        <w:t>参选单位（盖章）：</w:t>
      </w:r>
    </w:p>
    <w:p>
      <w:pPr>
        <w:spacing w:line="600" w:lineRule="exact"/>
        <w:ind w:firstLine="2240" w:firstLineChars="700"/>
        <w:jc w:val="right"/>
        <w:rPr>
          <w:rFonts w:hint="eastAsia" w:ascii="仿宋" w:hAnsi="仿宋" w:eastAsia="仿宋" w:cs="仿宋"/>
          <w:sz w:val="32"/>
          <w:szCs w:val="32"/>
          <w:highlight w:val="none"/>
        </w:rPr>
      </w:pP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日</w:t>
      </w:r>
    </w:p>
    <w:p>
      <w:pPr>
        <w:keepNext w:val="0"/>
        <w:keepLines w:val="0"/>
        <w:pageBreakBefore w:val="0"/>
        <w:widowControl w:val="0"/>
        <w:kinsoku/>
        <w:wordWrap/>
        <w:overflowPunct/>
        <w:topLinePunct w:val="0"/>
        <w:autoSpaceDE/>
        <w:autoSpaceDN/>
        <w:bidi w:val="0"/>
        <w:adjustRightInd/>
        <w:snapToGrid/>
        <w:spacing w:before="68" w:line="240" w:lineRule="auto"/>
        <w:ind w:right="25" w:rightChars="12"/>
        <w:textAlignment w:val="auto"/>
        <w:rPr>
          <w:rFonts w:hint="eastAsia" w:ascii="仿宋" w:hAnsi="仿宋" w:eastAsia="仿宋" w:cs="仿宋"/>
          <w:b w:val="0"/>
          <w:bCs/>
          <w:color w:val="000000"/>
          <w:sz w:val="32"/>
          <w:szCs w:val="32"/>
          <w:highlight w:val="none"/>
          <w:lang w:val="en-US" w:eastAsia="zh-CN"/>
        </w:rPr>
      </w:pPr>
    </w:p>
    <w:p>
      <w:pPr>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rPr>
        <w:br w:type="page"/>
      </w:r>
    </w:p>
    <w:p>
      <w:pPr>
        <w:numPr>
          <w:ilvl w:val="0"/>
          <w:numId w:val="4"/>
        </w:numPr>
        <w:spacing w:line="240" w:lineRule="auto"/>
        <w:jc w:val="left"/>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rPr>
        <w:t>企业类似项目情况</w:t>
      </w:r>
      <w:r>
        <w:rPr>
          <w:rFonts w:hint="eastAsia" w:ascii="黑体" w:hAnsi="黑体" w:eastAsia="黑体" w:cs="黑体"/>
          <w:b w:val="0"/>
          <w:bCs w:val="0"/>
          <w:sz w:val="32"/>
          <w:szCs w:val="32"/>
          <w:highlight w:val="none"/>
          <w:lang w:eastAsia="zh-CN"/>
        </w:rPr>
        <w:t>（</w:t>
      </w:r>
      <w:r>
        <w:rPr>
          <w:rFonts w:hint="eastAsia" w:ascii="黑体" w:hAnsi="黑体" w:eastAsia="黑体" w:cs="黑体"/>
          <w:b w:val="0"/>
          <w:bCs w:val="0"/>
          <w:sz w:val="32"/>
          <w:szCs w:val="32"/>
          <w:highlight w:val="none"/>
          <w:lang w:val="en-US" w:eastAsia="zh-CN"/>
        </w:rPr>
        <w:t>业绩</w:t>
      </w:r>
      <w:r>
        <w:rPr>
          <w:rFonts w:hint="eastAsia" w:ascii="黑体" w:hAnsi="黑体" w:eastAsia="黑体" w:cs="黑体"/>
          <w:b w:val="0"/>
          <w:bCs w:val="0"/>
          <w:sz w:val="32"/>
          <w:szCs w:val="32"/>
          <w:highlight w:val="none"/>
          <w:lang w:eastAsia="zh-CN"/>
        </w:rPr>
        <w:t>）</w:t>
      </w:r>
    </w:p>
    <w:p>
      <w:pPr>
        <w:spacing w:after="156" w:afterLines="50" w:line="480" w:lineRule="auto"/>
        <w:jc w:val="center"/>
        <w:rPr>
          <w:rFonts w:hint="eastAsia" w:ascii="方正小标宋简体" w:hAnsi="方正小标宋简体" w:eastAsia="方正小标宋简体" w:cs="方正小标宋简体"/>
          <w:bCs/>
          <w:sz w:val="32"/>
          <w:szCs w:val="32"/>
          <w:highlight w:val="none"/>
        </w:rPr>
      </w:pPr>
      <w:r>
        <w:rPr>
          <w:rFonts w:hint="eastAsia" w:ascii="方正小标宋简体" w:hAnsi="方正小标宋简体" w:eastAsia="方正小标宋简体" w:cs="方正小标宋简体"/>
          <w:bCs/>
          <w:sz w:val="32"/>
          <w:szCs w:val="32"/>
          <w:highlight w:val="none"/>
        </w:rPr>
        <w:t>近</w:t>
      </w:r>
      <w:r>
        <w:rPr>
          <w:rFonts w:hint="eastAsia" w:ascii="方正小标宋简体" w:hAnsi="方正小标宋简体" w:eastAsia="方正小标宋简体" w:cs="方正小标宋简体"/>
          <w:bCs/>
          <w:sz w:val="32"/>
          <w:szCs w:val="32"/>
          <w:highlight w:val="none"/>
          <w:lang w:val="en-US" w:eastAsia="zh-CN"/>
        </w:rPr>
        <w:t>五年</w:t>
      </w:r>
      <w:r>
        <w:rPr>
          <w:rFonts w:hint="eastAsia" w:ascii="方正小标宋简体" w:hAnsi="方正小标宋简体" w:eastAsia="方正小标宋简体" w:cs="方正小标宋简体"/>
          <w:bCs/>
          <w:sz w:val="32"/>
          <w:szCs w:val="32"/>
          <w:highlight w:val="none"/>
        </w:rPr>
        <w:t>类似项目业绩表</w:t>
      </w:r>
    </w:p>
    <w:tbl>
      <w:tblPr>
        <w:tblStyle w:val="15"/>
        <w:tblW w:w="8454" w:type="dxa"/>
        <w:tblInd w:w="0" w:type="dxa"/>
        <w:tblBorders>
          <w:top w:val="double" w:color="auto" w:sz="2" w:space="0"/>
          <w:left w:val="double" w:color="auto" w:sz="2" w:space="0"/>
          <w:bottom w:val="double" w:color="auto" w:sz="2" w:space="0"/>
          <w:right w:val="doub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26"/>
        <w:gridCol w:w="1141"/>
        <w:gridCol w:w="1044"/>
        <w:gridCol w:w="914"/>
        <w:gridCol w:w="1305"/>
        <w:gridCol w:w="1567"/>
        <w:gridCol w:w="1174"/>
        <w:gridCol w:w="783"/>
      </w:tblGrid>
      <w:tr>
        <w:tblPrEx>
          <w:tblBorders>
            <w:top w:val="double" w:color="auto" w:sz="2" w:space="0"/>
            <w:left w:val="double" w:color="auto" w:sz="2" w:space="0"/>
            <w:bottom w:val="double" w:color="auto" w:sz="2" w:space="0"/>
            <w:right w:val="double" w:color="auto" w:sz="2" w:space="0"/>
            <w:insideH w:val="single" w:color="auto" w:sz="2" w:space="0"/>
            <w:insideV w:val="single" w:color="auto" w:sz="2" w:space="0"/>
          </w:tblBorders>
          <w:tblCellMar>
            <w:top w:w="0" w:type="dxa"/>
            <w:left w:w="108" w:type="dxa"/>
            <w:bottom w:w="0" w:type="dxa"/>
            <w:right w:w="108" w:type="dxa"/>
          </w:tblCellMar>
        </w:tblPrEx>
        <w:trPr>
          <w:cantSplit/>
          <w:trHeight w:val="750" w:hRule="atLeast"/>
        </w:trPr>
        <w:tc>
          <w:tcPr>
            <w:tcW w:w="526" w:type="dxa"/>
            <w:noWrap w:val="0"/>
            <w:vAlign w:val="center"/>
          </w:tcPr>
          <w:p>
            <w:pPr>
              <w:spacing w:line="30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序号</w:t>
            </w:r>
          </w:p>
        </w:tc>
        <w:tc>
          <w:tcPr>
            <w:tcW w:w="1141" w:type="dxa"/>
            <w:noWrap w:val="0"/>
            <w:vAlign w:val="center"/>
          </w:tcPr>
          <w:p>
            <w:pPr>
              <w:spacing w:line="30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签订合同时间</w:t>
            </w:r>
          </w:p>
        </w:tc>
        <w:tc>
          <w:tcPr>
            <w:tcW w:w="1044"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项目</w:t>
            </w:r>
          </w:p>
          <w:p>
            <w:pPr>
              <w:jc w:val="center"/>
              <w:rPr>
                <w:rFonts w:hint="eastAsia" w:ascii="仿宋" w:hAnsi="仿宋" w:eastAsia="仿宋" w:cs="仿宋"/>
                <w:bCs/>
                <w:sz w:val="24"/>
                <w:highlight w:val="none"/>
              </w:rPr>
            </w:pPr>
            <w:r>
              <w:rPr>
                <w:rFonts w:hint="eastAsia" w:ascii="仿宋" w:hAnsi="仿宋" w:eastAsia="仿宋" w:cs="仿宋"/>
                <w:bCs/>
                <w:sz w:val="24"/>
                <w:highlight w:val="none"/>
              </w:rPr>
              <w:t>名称</w:t>
            </w:r>
          </w:p>
        </w:tc>
        <w:tc>
          <w:tcPr>
            <w:tcW w:w="914"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业主</w:t>
            </w:r>
          </w:p>
          <w:p>
            <w:pPr>
              <w:jc w:val="center"/>
              <w:rPr>
                <w:rFonts w:hint="eastAsia" w:ascii="仿宋" w:hAnsi="仿宋" w:eastAsia="仿宋" w:cs="仿宋"/>
                <w:bCs/>
                <w:sz w:val="24"/>
                <w:highlight w:val="none"/>
              </w:rPr>
            </w:pPr>
            <w:r>
              <w:rPr>
                <w:rFonts w:hint="eastAsia" w:ascii="仿宋" w:hAnsi="仿宋" w:eastAsia="仿宋" w:cs="仿宋"/>
                <w:bCs/>
                <w:sz w:val="24"/>
                <w:highlight w:val="none"/>
              </w:rPr>
              <w:t>名称</w:t>
            </w:r>
          </w:p>
        </w:tc>
        <w:tc>
          <w:tcPr>
            <w:tcW w:w="1305"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合同</w:t>
            </w:r>
          </w:p>
          <w:p>
            <w:pPr>
              <w:jc w:val="center"/>
              <w:rPr>
                <w:rFonts w:hint="eastAsia" w:ascii="仿宋" w:hAnsi="仿宋" w:eastAsia="仿宋" w:cs="仿宋"/>
                <w:bCs/>
                <w:sz w:val="24"/>
                <w:highlight w:val="none"/>
              </w:rPr>
            </w:pPr>
            <w:r>
              <w:rPr>
                <w:rFonts w:hint="eastAsia" w:ascii="仿宋" w:hAnsi="仿宋" w:eastAsia="仿宋" w:cs="仿宋"/>
                <w:bCs/>
                <w:sz w:val="24"/>
                <w:highlight w:val="none"/>
              </w:rPr>
              <w:t>金额</w:t>
            </w:r>
          </w:p>
        </w:tc>
        <w:tc>
          <w:tcPr>
            <w:tcW w:w="1567"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合同采购</w:t>
            </w:r>
          </w:p>
          <w:p>
            <w:pPr>
              <w:jc w:val="center"/>
              <w:rPr>
                <w:rFonts w:hint="eastAsia" w:ascii="仿宋" w:hAnsi="仿宋" w:eastAsia="仿宋" w:cs="仿宋"/>
                <w:bCs/>
                <w:sz w:val="24"/>
                <w:highlight w:val="none"/>
              </w:rPr>
            </w:pPr>
            <w:r>
              <w:rPr>
                <w:rFonts w:hint="eastAsia" w:ascii="仿宋" w:hAnsi="仿宋" w:eastAsia="仿宋" w:cs="仿宋"/>
                <w:bCs/>
                <w:sz w:val="24"/>
                <w:highlight w:val="none"/>
              </w:rPr>
              <w:t>内容</w:t>
            </w:r>
          </w:p>
        </w:tc>
        <w:tc>
          <w:tcPr>
            <w:tcW w:w="1174"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业主评价</w:t>
            </w:r>
          </w:p>
        </w:tc>
        <w:tc>
          <w:tcPr>
            <w:tcW w:w="783"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备注</w:t>
            </w:r>
          </w:p>
        </w:tc>
      </w:tr>
      <w:tr>
        <w:tblPrEx>
          <w:tblBorders>
            <w:top w:val="double" w:color="auto" w:sz="2" w:space="0"/>
            <w:left w:val="double" w:color="auto" w:sz="2" w:space="0"/>
            <w:bottom w:val="double" w:color="auto" w:sz="2" w:space="0"/>
            <w:right w:val="double" w:color="auto" w:sz="2" w:space="0"/>
            <w:insideH w:val="single" w:color="auto" w:sz="2" w:space="0"/>
            <w:insideV w:val="single" w:color="auto" w:sz="2" w:space="0"/>
          </w:tblBorders>
          <w:tblCellMar>
            <w:top w:w="0" w:type="dxa"/>
            <w:left w:w="108" w:type="dxa"/>
            <w:bottom w:w="0" w:type="dxa"/>
            <w:right w:w="108" w:type="dxa"/>
          </w:tblCellMar>
        </w:tblPrEx>
        <w:trPr>
          <w:trHeight w:val="646" w:hRule="atLeast"/>
        </w:trPr>
        <w:tc>
          <w:tcPr>
            <w:tcW w:w="526"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1</w:t>
            </w:r>
          </w:p>
        </w:tc>
        <w:tc>
          <w:tcPr>
            <w:tcW w:w="1141" w:type="dxa"/>
            <w:noWrap w:val="0"/>
            <w:vAlign w:val="center"/>
          </w:tcPr>
          <w:p>
            <w:pPr>
              <w:jc w:val="center"/>
              <w:rPr>
                <w:rFonts w:hint="eastAsia" w:ascii="仿宋" w:hAnsi="仿宋" w:eastAsia="仿宋" w:cs="仿宋"/>
                <w:bCs/>
                <w:sz w:val="24"/>
                <w:highlight w:val="none"/>
              </w:rPr>
            </w:pPr>
          </w:p>
        </w:tc>
        <w:tc>
          <w:tcPr>
            <w:tcW w:w="1044" w:type="dxa"/>
            <w:noWrap w:val="0"/>
            <w:vAlign w:val="center"/>
          </w:tcPr>
          <w:p>
            <w:pPr>
              <w:jc w:val="center"/>
              <w:rPr>
                <w:rFonts w:hint="eastAsia" w:ascii="仿宋" w:hAnsi="仿宋" w:eastAsia="仿宋" w:cs="仿宋"/>
                <w:bCs/>
                <w:sz w:val="24"/>
                <w:highlight w:val="none"/>
              </w:rPr>
            </w:pPr>
          </w:p>
        </w:tc>
        <w:tc>
          <w:tcPr>
            <w:tcW w:w="914" w:type="dxa"/>
            <w:noWrap w:val="0"/>
            <w:vAlign w:val="center"/>
          </w:tcPr>
          <w:p>
            <w:pPr>
              <w:jc w:val="center"/>
              <w:rPr>
                <w:rFonts w:hint="eastAsia" w:ascii="仿宋" w:hAnsi="仿宋" w:eastAsia="仿宋" w:cs="仿宋"/>
                <w:bCs/>
                <w:sz w:val="24"/>
                <w:highlight w:val="none"/>
              </w:rPr>
            </w:pPr>
          </w:p>
        </w:tc>
        <w:tc>
          <w:tcPr>
            <w:tcW w:w="1305" w:type="dxa"/>
            <w:noWrap w:val="0"/>
            <w:vAlign w:val="center"/>
          </w:tcPr>
          <w:p>
            <w:pPr>
              <w:jc w:val="center"/>
              <w:rPr>
                <w:rFonts w:hint="eastAsia" w:ascii="仿宋" w:hAnsi="仿宋" w:eastAsia="仿宋" w:cs="仿宋"/>
                <w:bCs/>
                <w:sz w:val="24"/>
                <w:highlight w:val="none"/>
              </w:rPr>
            </w:pPr>
          </w:p>
        </w:tc>
        <w:tc>
          <w:tcPr>
            <w:tcW w:w="1567" w:type="dxa"/>
            <w:noWrap w:val="0"/>
            <w:vAlign w:val="center"/>
          </w:tcPr>
          <w:p>
            <w:pPr>
              <w:jc w:val="center"/>
              <w:rPr>
                <w:rFonts w:hint="eastAsia" w:ascii="仿宋" w:hAnsi="仿宋" w:eastAsia="仿宋" w:cs="仿宋"/>
                <w:bCs/>
                <w:sz w:val="24"/>
                <w:highlight w:val="none"/>
              </w:rPr>
            </w:pPr>
          </w:p>
        </w:tc>
        <w:tc>
          <w:tcPr>
            <w:tcW w:w="1174" w:type="dxa"/>
            <w:noWrap w:val="0"/>
            <w:vAlign w:val="center"/>
          </w:tcPr>
          <w:p>
            <w:pPr>
              <w:jc w:val="center"/>
              <w:rPr>
                <w:rFonts w:hint="eastAsia" w:ascii="仿宋" w:hAnsi="仿宋" w:eastAsia="仿宋" w:cs="仿宋"/>
                <w:bCs/>
                <w:sz w:val="24"/>
                <w:highlight w:val="none"/>
              </w:rPr>
            </w:pPr>
          </w:p>
        </w:tc>
        <w:tc>
          <w:tcPr>
            <w:tcW w:w="783" w:type="dxa"/>
            <w:noWrap w:val="0"/>
            <w:vAlign w:val="center"/>
          </w:tcPr>
          <w:p>
            <w:pPr>
              <w:jc w:val="center"/>
              <w:rPr>
                <w:rFonts w:hint="eastAsia" w:ascii="仿宋" w:hAnsi="仿宋" w:eastAsia="仿宋" w:cs="仿宋"/>
                <w:bCs/>
                <w:sz w:val="24"/>
                <w:highlight w:val="none"/>
              </w:rPr>
            </w:pPr>
          </w:p>
        </w:tc>
      </w:tr>
      <w:tr>
        <w:tblPrEx>
          <w:tblBorders>
            <w:top w:val="double" w:color="auto" w:sz="2" w:space="0"/>
            <w:left w:val="double" w:color="auto" w:sz="2" w:space="0"/>
            <w:bottom w:val="double" w:color="auto" w:sz="2" w:space="0"/>
            <w:right w:val="double" w:color="auto" w:sz="2" w:space="0"/>
            <w:insideH w:val="single" w:color="auto" w:sz="2" w:space="0"/>
            <w:insideV w:val="single" w:color="auto" w:sz="2" w:space="0"/>
          </w:tblBorders>
          <w:tblCellMar>
            <w:top w:w="0" w:type="dxa"/>
            <w:left w:w="108" w:type="dxa"/>
            <w:bottom w:w="0" w:type="dxa"/>
            <w:right w:w="108" w:type="dxa"/>
          </w:tblCellMar>
        </w:tblPrEx>
        <w:trPr>
          <w:trHeight w:val="646" w:hRule="atLeast"/>
        </w:trPr>
        <w:tc>
          <w:tcPr>
            <w:tcW w:w="526"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2</w:t>
            </w:r>
          </w:p>
        </w:tc>
        <w:tc>
          <w:tcPr>
            <w:tcW w:w="1141" w:type="dxa"/>
            <w:noWrap w:val="0"/>
            <w:vAlign w:val="center"/>
          </w:tcPr>
          <w:p>
            <w:pPr>
              <w:jc w:val="center"/>
              <w:rPr>
                <w:rFonts w:hint="eastAsia" w:ascii="仿宋" w:hAnsi="仿宋" w:eastAsia="仿宋" w:cs="仿宋"/>
                <w:bCs/>
                <w:sz w:val="24"/>
                <w:highlight w:val="none"/>
              </w:rPr>
            </w:pPr>
          </w:p>
        </w:tc>
        <w:tc>
          <w:tcPr>
            <w:tcW w:w="1044" w:type="dxa"/>
            <w:noWrap w:val="0"/>
            <w:vAlign w:val="center"/>
          </w:tcPr>
          <w:p>
            <w:pPr>
              <w:jc w:val="center"/>
              <w:rPr>
                <w:rFonts w:hint="eastAsia" w:ascii="仿宋" w:hAnsi="仿宋" w:eastAsia="仿宋" w:cs="仿宋"/>
                <w:bCs/>
                <w:sz w:val="24"/>
                <w:highlight w:val="none"/>
              </w:rPr>
            </w:pPr>
          </w:p>
        </w:tc>
        <w:tc>
          <w:tcPr>
            <w:tcW w:w="914" w:type="dxa"/>
            <w:noWrap w:val="0"/>
            <w:vAlign w:val="center"/>
          </w:tcPr>
          <w:p>
            <w:pPr>
              <w:jc w:val="center"/>
              <w:rPr>
                <w:rFonts w:hint="eastAsia" w:ascii="仿宋" w:hAnsi="仿宋" w:eastAsia="仿宋" w:cs="仿宋"/>
                <w:bCs/>
                <w:sz w:val="24"/>
                <w:highlight w:val="none"/>
              </w:rPr>
            </w:pPr>
          </w:p>
        </w:tc>
        <w:tc>
          <w:tcPr>
            <w:tcW w:w="1305" w:type="dxa"/>
            <w:noWrap w:val="0"/>
            <w:vAlign w:val="center"/>
          </w:tcPr>
          <w:p>
            <w:pPr>
              <w:jc w:val="center"/>
              <w:rPr>
                <w:rFonts w:hint="eastAsia" w:ascii="仿宋" w:hAnsi="仿宋" w:eastAsia="仿宋" w:cs="仿宋"/>
                <w:bCs/>
                <w:sz w:val="24"/>
                <w:highlight w:val="none"/>
              </w:rPr>
            </w:pPr>
          </w:p>
        </w:tc>
        <w:tc>
          <w:tcPr>
            <w:tcW w:w="1567" w:type="dxa"/>
            <w:noWrap w:val="0"/>
            <w:vAlign w:val="center"/>
          </w:tcPr>
          <w:p>
            <w:pPr>
              <w:jc w:val="center"/>
              <w:rPr>
                <w:rFonts w:hint="eastAsia" w:ascii="仿宋" w:hAnsi="仿宋" w:eastAsia="仿宋" w:cs="仿宋"/>
                <w:bCs/>
                <w:sz w:val="24"/>
                <w:highlight w:val="none"/>
              </w:rPr>
            </w:pPr>
          </w:p>
        </w:tc>
        <w:tc>
          <w:tcPr>
            <w:tcW w:w="1174" w:type="dxa"/>
            <w:noWrap w:val="0"/>
            <w:vAlign w:val="center"/>
          </w:tcPr>
          <w:p>
            <w:pPr>
              <w:jc w:val="center"/>
              <w:rPr>
                <w:rFonts w:hint="eastAsia" w:ascii="仿宋" w:hAnsi="仿宋" w:eastAsia="仿宋" w:cs="仿宋"/>
                <w:bCs/>
                <w:sz w:val="24"/>
                <w:highlight w:val="none"/>
              </w:rPr>
            </w:pPr>
          </w:p>
        </w:tc>
        <w:tc>
          <w:tcPr>
            <w:tcW w:w="783" w:type="dxa"/>
            <w:noWrap w:val="0"/>
            <w:vAlign w:val="center"/>
          </w:tcPr>
          <w:p>
            <w:pPr>
              <w:jc w:val="center"/>
              <w:rPr>
                <w:rFonts w:hint="eastAsia" w:ascii="仿宋" w:hAnsi="仿宋" w:eastAsia="仿宋" w:cs="仿宋"/>
                <w:bCs/>
                <w:sz w:val="24"/>
                <w:highlight w:val="none"/>
              </w:rPr>
            </w:pPr>
          </w:p>
        </w:tc>
      </w:tr>
      <w:tr>
        <w:tblPrEx>
          <w:tblBorders>
            <w:top w:val="double" w:color="auto" w:sz="2" w:space="0"/>
            <w:left w:val="double" w:color="auto" w:sz="2" w:space="0"/>
            <w:bottom w:val="double" w:color="auto" w:sz="2" w:space="0"/>
            <w:right w:val="double" w:color="auto" w:sz="2" w:space="0"/>
            <w:insideH w:val="single" w:color="auto" w:sz="2" w:space="0"/>
            <w:insideV w:val="single" w:color="auto" w:sz="2" w:space="0"/>
          </w:tblBorders>
          <w:tblCellMar>
            <w:top w:w="0" w:type="dxa"/>
            <w:left w:w="108" w:type="dxa"/>
            <w:bottom w:w="0" w:type="dxa"/>
            <w:right w:w="108" w:type="dxa"/>
          </w:tblCellMar>
        </w:tblPrEx>
        <w:trPr>
          <w:trHeight w:val="646" w:hRule="atLeast"/>
        </w:trPr>
        <w:tc>
          <w:tcPr>
            <w:tcW w:w="526"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3</w:t>
            </w:r>
          </w:p>
        </w:tc>
        <w:tc>
          <w:tcPr>
            <w:tcW w:w="1141" w:type="dxa"/>
            <w:noWrap w:val="0"/>
            <w:vAlign w:val="center"/>
          </w:tcPr>
          <w:p>
            <w:pPr>
              <w:jc w:val="center"/>
              <w:rPr>
                <w:rFonts w:hint="eastAsia" w:ascii="仿宋" w:hAnsi="仿宋" w:eastAsia="仿宋" w:cs="仿宋"/>
                <w:bCs/>
                <w:sz w:val="24"/>
                <w:highlight w:val="none"/>
              </w:rPr>
            </w:pPr>
          </w:p>
        </w:tc>
        <w:tc>
          <w:tcPr>
            <w:tcW w:w="1044" w:type="dxa"/>
            <w:noWrap w:val="0"/>
            <w:vAlign w:val="center"/>
          </w:tcPr>
          <w:p>
            <w:pPr>
              <w:jc w:val="center"/>
              <w:rPr>
                <w:rFonts w:hint="eastAsia" w:ascii="仿宋" w:hAnsi="仿宋" w:eastAsia="仿宋" w:cs="仿宋"/>
                <w:bCs/>
                <w:sz w:val="24"/>
                <w:highlight w:val="none"/>
              </w:rPr>
            </w:pPr>
          </w:p>
        </w:tc>
        <w:tc>
          <w:tcPr>
            <w:tcW w:w="914" w:type="dxa"/>
            <w:noWrap w:val="0"/>
            <w:vAlign w:val="center"/>
          </w:tcPr>
          <w:p>
            <w:pPr>
              <w:jc w:val="center"/>
              <w:rPr>
                <w:rFonts w:hint="eastAsia" w:ascii="仿宋" w:hAnsi="仿宋" w:eastAsia="仿宋" w:cs="仿宋"/>
                <w:bCs/>
                <w:sz w:val="24"/>
                <w:highlight w:val="none"/>
              </w:rPr>
            </w:pPr>
          </w:p>
        </w:tc>
        <w:tc>
          <w:tcPr>
            <w:tcW w:w="1305" w:type="dxa"/>
            <w:noWrap w:val="0"/>
            <w:vAlign w:val="center"/>
          </w:tcPr>
          <w:p>
            <w:pPr>
              <w:jc w:val="center"/>
              <w:rPr>
                <w:rFonts w:hint="eastAsia" w:ascii="仿宋" w:hAnsi="仿宋" w:eastAsia="仿宋" w:cs="仿宋"/>
                <w:bCs/>
                <w:sz w:val="24"/>
                <w:highlight w:val="none"/>
              </w:rPr>
            </w:pPr>
          </w:p>
        </w:tc>
        <w:tc>
          <w:tcPr>
            <w:tcW w:w="1567" w:type="dxa"/>
            <w:noWrap w:val="0"/>
            <w:vAlign w:val="center"/>
          </w:tcPr>
          <w:p>
            <w:pPr>
              <w:jc w:val="center"/>
              <w:rPr>
                <w:rFonts w:hint="eastAsia" w:ascii="仿宋" w:hAnsi="仿宋" w:eastAsia="仿宋" w:cs="仿宋"/>
                <w:bCs/>
                <w:sz w:val="24"/>
                <w:highlight w:val="none"/>
              </w:rPr>
            </w:pPr>
          </w:p>
        </w:tc>
        <w:tc>
          <w:tcPr>
            <w:tcW w:w="1174" w:type="dxa"/>
            <w:noWrap w:val="0"/>
            <w:vAlign w:val="center"/>
          </w:tcPr>
          <w:p>
            <w:pPr>
              <w:jc w:val="center"/>
              <w:rPr>
                <w:rFonts w:hint="eastAsia" w:ascii="仿宋" w:hAnsi="仿宋" w:eastAsia="仿宋" w:cs="仿宋"/>
                <w:bCs/>
                <w:sz w:val="24"/>
                <w:highlight w:val="none"/>
              </w:rPr>
            </w:pPr>
          </w:p>
        </w:tc>
        <w:tc>
          <w:tcPr>
            <w:tcW w:w="783" w:type="dxa"/>
            <w:noWrap w:val="0"/>
            <w:vAlign w:val="center"/>
          </w:tcPr>
          <w:p>
            <w:pPr>
              <w:jc w:val="center"/>
              <w:rPr>
                <w:rFonts w:hint="eastAsia" w:ascii="仿宋" w:hAnsi="仿宋" w:eastAsia="仿宋" w:cs="仿宋"/>
                <w:bCs/>
                <w:sz w:val="24"/>
                <w:highlight w:val="none"/>
              </w:rPr>
            </w:pPr>
          </w:p>
        </w:tc>
      </w:tr>
      <w:tr>
        <w:tblPrEx>
          <w:tblBorders>
            <w:top w:val="double" w:color="auto" w:sz="2" w:space="0"/>
            <w:left w:val="double" w:color="auto" w:sz="2" w:space="0"/>
            <w:bottom w:val="double" w:color="auto" w:sz="2" w:space="0"/>
            <w:right w:val="double" w:color="auto" w:sz="2" w:space="0"/>
            <w:insideH w:val="single" w:color="auto" w:sz="2" w:space="0"/>
            <w:insideV w:val="single" w:color="auto" w:sz="2" w:space="0"/>
          </w:tblBorders>
          <w:tblCellMar>
            <w:top w:w="0" w:type="dxa"/>
            <w:left w:w="108" w:type="dxa"/>
            <w:bottom w:w="0" w:type="dxa"/>
            <w:right w:w="108" w:type="dxa"/>
          </w:tblCellMar>
        </w:tblPrEx>
        <w:trPr>
          <w:trHeight w:val="646" w:hRule="atLeast"/>
        </w:trPr>
        <w:tc>
          <w:tcPr>
            <w:tcW w:w="526"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4</w:t>
            </w:r>
          </w:p>
        </w:tc>
        <w:tc>
          <w:tcPr>
            <w:tcW w:w="1141" w:type="dxa"/>
            <w:noWrap w:val="0"/>
            <w:vAlign w:val="center"/>
          </w:tcPr>
          <w:p>
            <w:pPr>
              <w:jc w:val="center"/>
              <w:rPr>
                <w:rFonts w:hint="eastAsia" w:ascii="仿宋" w:hAnsi="仿宋" w:eastAsia="仿宋" w:cs="仿宋"/>
                <w:bCs/>
                <w:sz w:val="24"/>
                <w:highlight w:val="none"/>
              </w:rPr>
            </w:pPr>
          </w:p>
        </w:tc>
        <w:tc>
          <w:tcPr>
            <w:tcW w:w="1044" w:type="dxa"/>
            <w:noWrap w:val="0"/>
            <w:vAlign w:val="center"/>
          </w:tcPr>
          <w:p>
            <w:pPr>
              <w:jc w:val="center"/>
              <w:rPr>
                <w:rFonts w:hint="eastAsia" w:ascii="仿宋" w:hAnsi="仿宋" w:eastAsia="仿宋" w:cs="仿宋"/>
                <w:bCs/>
                <w:sz w:val="24"/>
                <w:highlight w:val="none"/>
              </w:rPr>
            </w:pPr>
          </w:p>
        </w:tc>
        <w:tc>
          <w:tcPr>
            <w:tcW w:w="914" w:type="dxa"/>
            <w:noWrap w:val="0"/>
            <w:vAlign w:val="center"/>
          </w:tcPr>
          <w:p>
            <w:pPr>
              <w:jc w:val="center"/>
              <w:rPr>
                <w:rFonts w:hint="eastAsia" w:ascii="仿宋" w:hAnsi="仿宋" w:eastAsia="仿宋" w:cs="仿宋"/>
                <w:bCs/>
                <w:sz w:val="24"/>
                <w:highlight w:val="none"/>
              </w:rPr>
            </w:pPr>
          </w:p>
        </w:tc>
        <w:tc>
          <w:tcPr>
            <w:tcW w:w="1305" w:type="dxa"/>
            <w:noWrap w:val="0"/>
            <w:vAlign w:val="center"/>
          </w:tcPr>
          <w:p>
            <w:pPr>
              <w:jc w:val="center"/>
              <w:rPr>
                <w:rFonts w:hint="eastAsia" w:ascii="仿宋" w:hAnsi="仿宋" w:eastAsia="仿宋" w:cs="仿宋"/>
                <w:bCs/>
                <w:sz w:val="24"/>
                <w:highlight w:val="none"/>
              </w:rPr>
            </w:pPr>
          </w:p>
        </w:tc>
        <w:tc>
          <w:tcPr>
            <w:tcW w:w="1567" w:type="dxa"/>
            <w:noWrap w:val="0"/>
            <w:vAlign w:val="center"/>
          </w:tcPr>
          <w:p>
            <w:pPr>
              <w:jc w:val="center"/>
              <w:rPr>
                <w:rFonts w:hint="eastAsia" w:ascii="仿宋" w:hAnsi="仿宋" w:eastAsia="仿宋" w:cs="仿宋"/>
                <w:bCs/>
                <w:sz w:val="24"/>
                <w:highlight w:val="none"/>
              </w:rPr>
            </w:pPr>
          </w:p>
        </w:tc>
        <w:tc>
          <w:tcPr>
            <w:tcW w:w="1174" w:type="dxa"/>
            <w:noWrap w:val="0"/>
            <w:vAlign w:val="center"/>
          </w:tcPr>
          <w:p>
            <w:pPr>
              <w:jc w:val="center"/>
              <w:rPr>
                <w:rFonts w:hint="eastAsia" w:ascii="仿宋" w:hAnsi="仿宋" w:eastAsia="仿宋" w:cs="仿宋"/>
                <w:bCs/>
                <w:sz w:val="24"/>
                <w:highlight w:val="none"/>
              </w:rPr>
            </w:pPr>
          </w:p>
        </w:tc>
        <w:tc>
          <w:tcPr>
            <w:tcW w:w="783" w:type="dxa"/>
            <w:noWrap w:val="0"/>
            <w:vAlign w:val="center"/>
          </w:tcPr>
          <w:p>
            <w:pPr>
              <w:jc w:val="center"/>
              <w:rPr>
                <w:rFonts w:hint="eastAsia" w:ascii="仿宋" w:hAnsi="仿宋" w:eastAsia="仿宋" w:cs="仿宋"/>
                <w:bCs/>
                <w:sz w:val="24"/>
                <w:highlight w:val="none"/>
              </w:rPr>
            </w:pPr>
          </w:p>
        </w:tc>
      </w:tr>
      <w:tr>
        <w:tblPrEx>
          <w:tblBorders>
            <w:top w:val="double" w:color="auto" w:sz="2" w:space="0"/>
            <w:left w:val="double" w:color="auto" w:sz="2" w:space="0"/>
            <w:bottom w:val="double" w:color="auto" w:sz="2" w:space="0"/>
            <w:right w:val="double" w:color="auto" w:sz="2" w:space="0"/>
            <w:insideH w:val="single" w:color="auto" w:sz="2" w:space="0"/>
            <w:insideV w:val="single" w:color="auto" w:sz="2" w:space="0"/>
          </w:tblBorders>
          <w:tblCellMar>
            <w:top w:w="0" w:type="dxa"/>
            <w:left w:w="108" w:type="dxa"/>
            <w:bottom w:w="0" w:type="dxa"/>
            <w:right w:w="108" w:type="dxa"/>
          </w:tblCellMar>
        </w:tblPrEx>
        <w:trPr>
          <w:trHeight w:val="660" w:hRule="atLeast"/>
        </w:trPr>
        <w:tc>
          <w:tcPr>
            <w:tcW w:w="526" w:type="dxa"/>
            <w:noWrap w:val="0"/>
            <w:vAlign w:val="center"/>
          </w:tcPr>
          <w:p>
            <w:pPr>
              <w:jc w:val="center"/>
              <w:rPr>
                <w:rFonts w:hint="eastAsia" w:ascii="仿宋" w:hAnsi="仿宋" w:eastAsia="仿宋" w:cs="仿宋"/>
                <w:bCs/>
                <w:sz w:val="24"/>
                <w:highlight w:val="none"/>
              </w:rPr>
            </w:pPr>
            <w:r>
              <w:rPr>
                <w:rFonts w:hint="eastAsia" w:ascii="仿宋" w:hAnsi="仿宋" w:eastAsia="仿宋" w:cs="仿宋"/>
                <w:bCs/>
                <w:sz w:val="24"/>
                <w:highlight w:val="none"/>
              </w:rPr>
              <w:t>…</w:t>
            </w:r>
          </w:p>
        </w:tc>
        <w:tc>
          <w:tcPr>
            <w:tcW w:w="1141" w:type="dxa"/>
            <w:noWrap w:val="0"/>
            <w:vAlign w:val="center"/>
          </w:tcPr>
          <w:p>
            <w:pPr>
              <w:jc w:val="center"/>
              <w:rPr>
                <w:rFonts w:hint="eastAsia" w:ascii="仿宋" w:hAnsi="仿宋" w:eastAsia="仿宋" w:cs="仿宋"/>
                <w:bCs/>
                <w:sz w:val="24"/>
                <w:highlight w:val="none"/>
              </w:rPr>
            </w:pPr>
          </w:p>
        </w:tc>
        <w:tc>
          <w:tcPr>
            <w:tcW w:w="1044" w:type="dxa"/>
            <w:noWrap w:val="0"/>
            <w:vAlign w:val="center"/>
          </w:tcPr>
          <w:p>
            <w:pPr>
              <w:jc w:val="center"/>
              <w:rPr>
                <w:rFonts w:hint="eastAsia" w:ascii="仿宋" w:hAnsi="仿宋" w:eastAsia="仿宋" w:cs="仿宋"/>
                <w:bCs/>
                <w:sz w:val="24"/>
                <w:highlight w:val="none"/>
              </w:rPr>
            </w:pPr>
          </w:p>
        </w:tc>
        <w:tc>
          <w:tcPr>
            <w:tcW w:w="914" w:type="dxa"/>
            <w:noWrap w:val="0"/>
            <w:vAlign w:val="center"/>
          </w:tcPr>
          <w:p>
            <w:pPr>
              <w:jc w:val="center"/>
              <w:rPr>
                <w:rFonts w:hint="eastAsia" w:ascii="仿宋" w:hAnsi="仿宋" w:eastAsia="仿宋" w:cs="仿宋"/>
                <w:bCs/>
                <w:sz w:val="24"/>
                <w:highlight w:val="none"/>
              </w:rPr>
            </w:pPr>
          </w:p>
        </w:tc>
        <w:tc>
          <w:tcPr>
            <w:tcW w:w="1305" w:type="dxa"/>
            <w:noWrap w:val="0"/>
            <w:vAlign w:val="center"/>
          </w:tcPr>
          <w:p>
            <w:pPr>
              <w:jc w:val="center"/>
              <w:rPr>
                <w:rFonts w:hint="eastAsia" w:ascii="仿宋" w:hAnsi="仿宋" w:eastAsia="仿宋" w:cs="仿宋"/>
                <w:bCs/>
                <w:sz w:val="24"/>
                <w:highlight w:val="none"/>
              </w:rPr>
            </w:pPr>
          </w:p>
        </w:tc>
        <w:tc>
          <w:tcPr>
            <w:tcW w:w="1567" w:type="dxa"/>
            <w:noWrap w:val="0"/>
            <w:vAlign w:val="center"/>
          </w:tcPr>
          <w:p>
            <w:pPr>
              <w:jc w:val="center"/>
              <w:rPr>
                <w:rFonts w:hint="eastAsia" w:ascii="仿宋" w:hAnsi="仿宋" w:eastAsia="仿宋" w:cs="仿宋"/>
                <w:bCs/>
                <w:sz w:val="24"/>
                <w:highlight w:val="none"/>
              </w:rPr>
            </w:pPr>
          </w:p>
        </w:tc>
        <w:tc>
          <w:tcPr>
            <w:tcW w:w="1174" w:type="dxa"/>
            <w:noWrap w:val="0"/>
            <w:vAlign w:val="center"/>
          </w:tcPr>
          <w:p>
            <w:pPr>
              <w:jc w:val="center"/>
              <w:rPr>
                <w:rFonts w:hint="eastAsia" w:ascii="仿宋" w:hAnsi="仿宋" w:eastAsia="仿宋" w:cs="仿宋"/>
                <w:bCs/>
                <w:sz w:val="24"/>
                <w:highlight w:val="none"/>
              </w:rPr>
            </w:pPr>
          </w:p>
        </w:tc>
        <w:tc>
          <w:tcPr>
            <w:tcW w:w="783" w:type="dxa"/>
            <w:noWrap w:val="0"/>
            <w:vAlign w:val="center"/>
          </w:tcPr>
          <w:p>
            <w:pPr>
              <w:jc w:val="center"/>
              <w:rPr>
                <w:rFonts w:hint="eastAsia" w:ascii="仿宋" w:hAnsi="仿宋" w:eastAsia="仿宋" w:cs="仿宋"/>
                <w:bCs/>
                <w:sz w:val="24"/>
                <w:highlight w:val="none"/>
              </w:rPr>
            </w:pPr>
          </w:p>
        </w:tc>
      </w:tr>
    </w:tbl>
    <w:p>
      <w:pPr>
        <w:spacing w:line="480" w:lineRule="auto"/>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rPr>
        <w:t>注：</w:t>
      </w:r>
    </w:p>
    <w:p>
      <w:pPr>
        <w:spacing w:line="480" w:lineRule="auto"/>
        <w:ind w:hanging="10"/>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1.</w:t>
      </w:r>
      <w:r>
        <w:rPr>
          <w:rFonts w:hint="eastAsia" w:ascii="仿宋" w:hAnsi="仿宋" w:eastAsia="仿宋" w:cs="仿宋"/>
          <w:b w:val="0"/>
          <w:bCs w:val="0"/>
          <w:sz w:val="32"/>
          <w:szCs w:val="32"/>
          <w:highlight w:val="none"/>
        </w:rPr>
        <w:t>证明材料须提供</w:t>
      </w:r>
      <w:r>
        <w:rPr>
          <w:rFonts w:hint="eastAsia" w:ascii="仿宋" w:hAnsi="仿宋" w:eastAsia="仿宋" w:cs="仿宋"/>
          <w:b w:val="0"/>
          <w:bCs w:val="0"/>
          <w:sz w:val="32"/>
          <w:szCs w:val="32"/>
          <w:highlight w:val="none"/>
          <w:lang w:eastAsia="zh-CN"/>
        </w:rPr>
        <w:t>中标通知书或</w:t>
      </w:r>
      <w:r>
        <w:rPr>
          <w:rFonts w:hint="eastAsia" w:ascii="仿宋" w:hAnsi="仿宋" w:eastAsia="仿宋" w:cs="仿宋"/>
          <w:b w:val="0"/>
          <w:bCs w:val="0"/>
          <w:sz w:val="32"/>
          <w:szCs w:val="32"/>
          <w:highlight w:val="none"/>
        </w:rPr>
        <w:t>合同（协议书）</w:t>
      </w:r>
      <w:r>
        <w:rPr>
          <w:rFonts w:hint="eastAsia" w:ascii="仿宋" w:hAnsi="仿宋" w:eastAsia="仿宋" w:cs="仿宋"/>
          <w:b w:val="0"/>
          <w:bCs w:val="0"/>
          <w:sz w:val="32"/>
          <w:szCs w:val="32"/>
          <w:highlight w:val="none"/>
          <w:lang w:eastAsia="zh-CN"/>
        </w:rPr>
        <w:t>或</w:t>
      </w:r>
      <w:r>
        <w:rPr>
          <w:rFonts w:hint="eastAsia" w:ascii="仿宋" w:hAnsi="仿宋" w:eastAsia="仿宋" w:cs="仿宋"/>
          <w:b w:val="0"/>
          <w:bCs w:val="0"/>
          <w:sz w:val="32"/>
          <w:szCs w:val="32"/>
          <w:highlight w:val="none"/>
        </w:rPr>
        <w:t xml:space="preserve">对应项目的发票扫描件或复印件加盖单位公章。   </w:t>
      </w:r>
    </w:p>
    <w:p>
      <w:pPr>
        <w:spacing w:line="480" w:lineRule="auto"/>
        <w:ind w:hanging="10"/>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rPr>
        <w:t>2.</w:t>
      </w:r>
      <w:r>
        <w:rPr>
          <w:rFonts w:hint="eastAsia" w:ascii="仿宋" w:hAnsi="仿宋" w:eastAsia="仿宋" w:cs="仿宋"/>
          <w:b w:val="0"/>
          <w:bCs w:val="0"/>
          <w:sz w:val="32"/>
          <w:szCs w:val="32"/>
          <w:highlight w:val="none"/>
          <w:lang w:val="en-US" w:eastAsia="zh-CN"/>
        </w:rPr>
        <w:t>业绩认定时间以合同签订时间为准。</w:t>
      </w:r>
    </w:p>
    <w:p>
      <w:pPr>
        <w:spacing w:line="480" w:lineRule="auto"/>
        <w:ind w:hanging="10"/>
        <w:rPr>
          <w:rFonts w:hint="eastAsia" w:ascii="宋体" w:hAnsi="宋体" w:cs="宋体"/>
          <w:sz w:val="24"/>
          <w:highlight w:val="none"/>
          <w:lang w:val="en-US" w:eastAsia="zh-CN"/>
        </w:rPr>
      </w:pPr>
    </w:p>
    <w:p>
      <w:pPr>
        <w:spacing w:line="480" w:lineRule="auto"/>
        <w:ind w:hanging="10"/>
        <w:rPr>
          <w:rFonts w:hint="eastAsia" w:ascii="宋体" w:hAnsi="宋体" w:cs="宋体"/>
          <w:sz w:val="24"/>
          <w:highlight w:val="none"/>
          <w:lang w:val="en-US" w:eastAsia="zh-CN"/>
        </w:rPr>
      </w:pPr>
    </w:p>
    <w:p>
      <w:pPr>
        <w:ind w:hanging="10"/>
        <w:rPr>
          <w:rFonts w:hint="eastAsia" w:ascii="仿宋" w:hAnsi="仿宋" w:eastAsia="仿宋" w:cs="仿宋"/>
          <w:sz w:val="24"/>
          <w:highlight w:val="none"/>
        </w:rPr>
      </w:pPr>
    </w:p>
    <w:p>
      <w:pPr>
        <w:pStyle w:val="6"/>
        <w:snapToGrid w:val="0"/>
        <w:spacing w:after="0" w:afterLines="0" w:line="360" w:lineRule="auto"/>
        <w:ind w:left="0" w:firstLine="0" w:firstLineChars="0"/>
        <w:rPr>
          <w:rFonts w:hint="eastAsia" w:ascii="仿宋" w:hAnsi="仿宋" w:eastAsia="仿宋" w:cs="仿宋"/>
          <w:sz w:val="32"/>
          <w:szCs w:val="32"/>
          <w:highlight w:val="none"/>
          <w:u w:val="single"/>
        </w:rPr>
      </w:pPr>
      <w:r>
        <w:rPr>
          <w:rFonts w:hint="eastAsia" w:ascii="仿宋" w:hAnsi="仿宋" w:eastAsia="仿宋" w:cs="仿宋"/>
          <w:sz w:val="32"/>
          <w:szCs w:val="32"/>
          <w:highlight w:val="none"/>
          <w:lang w:eastAsia="zh-CN"/>
        </w:rPr>
        <w:t>参选</w:t>
      </w:r>
      <w:r>
        <w:rPr>
          <w:rFonts w:hint="eastAsia" w:ascii="仿宋" w:hAnsi="仿宋" w:eastAsia="仿宋" w:cs="仿宋"/>
          <w:sz w:val="32"/>
          <w:szCs w:val="32"/>
          <w:highlight w:val="none"/>
        </w:rPr>
        <w:t>供应商名称：</w:t>
      </w:r>
      <w:r>
        <w:rPr>
          <w:rFonts w:hint="eastAsia" w:ascii="仿宋" w:hAnsi="仿宋" w:eastAsia="仿宋" w:cs="仿宋"/>
          <w:sz w:val="32"/>
          <w:szCs w:val="32"/>
          <w:highlight w:val="none"/>
          <w:u w:val="single"/>
        </w:rPr>
        <w:t xml:space="preserve">                      （单位公章）</w:t>
      </w:r>
    </w:p>
    <w:p>
      <w:pPr>
        <w:pStyle w:val="6"/>
        <w:snapToGrid w:val="0"/>
        <w:spacing w:after="0" w:afterLines="0" w:line="360" w:lineRule="auto"/>
        <w:ind w:left="0" w:firstLine="0" w:firstLineChars="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法定代表人或</w:t>
      </w:r>
      <w:r>
        <w:rPr>
          <w:rFonts w:hint="eastAsia" w:ascii="仿宋" w:hAnsi="仿宋" w:eastAsia="仿宋" w:cs="仿宋"/>
          <w:sz w:val="32"/>
          <w:szCs w:val="32"/>
          <w:highlight w:val="none"/>
          <w:lang w:eastAsia="zh-CN"/>
        </w:rPr>
        <w:t>参选供应商</w:t>
      </w: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single"/>
        </w:rPr>
        <w:t xml:space="preserve">        （签字或盖章）</w:t>
      </w:r>
    </w:p>
    <w:p>
      <w:pPr>
        <w:snapToGrid w:val="0"/>
        <w:spacing w:line="360" w:lineRule="auto"/>
        <w:ind w:firstLine="0" w:firstLineChars="0"/>
        <w:jc w:val="left"/>
        <w:rPr>
          <w:rFonts w:hint="eastAsia" w:ascii="仿宋" w:hAnsi="仿宋" w:eastAsia="仿宋" w:cs="仿宋"/>
          <w:bCs/>
          <w:sz w:val="32"/>
          <w:szCs w:val="32"/>
          <w:highlight w:val="none"/>
        </w:rPr>
      </w:pPr>
      <w:r>
        <w:rPr>
          <w:rFonts w:hint="eastAsia" w:ascii="仿宋" w:hAnsi="仿宋" w:eastAsia="仿宋" w:cs="仿宋"/>
          <w:bCs/>
          <w:sz w:val="32"/>
          <w:szCs w:val="32"/>
          <w:highlight w:val="none"/>
        </w:rPr>
        <w:t>日           期：</w:t>
      </w:r>
      <w:r>
        <w:rPr>
          <w:rFonts w:hint="eastAsia" w:ascii="仿宋" w:hAnsi="仿宋" w:eastAsia="仿宋" w:cs="仿宋"/>
          <w:bCs/>
          <w:sz w:val="32"/>
          <w:szCs w:val="32"/>
          <w:highlight w:val="none"/>
          <w:u w:val="single"/>
        </w:rPr>
        <w:t xml:space="preserve">      </w:t>
      </w:r>
      <w:r>
        <w:rPr>
          <w:rFonts w:hint="eastAsia" w:ascii="仿宋" w:hAnsi="仿宋" w:eastAsia="仿宋" w:cs="仿宋"/>
          <w:bCs/>
          <w:sz w:val="32"/>
          <w:szCs w:val="32"/>
          <w:highlight w:val="none"/>
        </w:rPr>
        <w:t>年</w:t>
      </w:r>
      <w:r>
        <w:rPr>
          <w:rFonts w:hint="eastAsia" w:ascii="仿宋" w:hAnsi="仿宋" w:eastAsia="仿宋" w:cs="仿宋"/>
          <w:bCs/>
          <w:sz w:val="32"/>
          <w:szCs w:val="32"/>
          <w:highlight w:val="none"/>
          <w:u w:val="single"/>
        </w:rPr>
        <w:t xml:space="preserve">     </w:t>
      </w:r>
      <w:r>
        <w:rPr>
          <w:rFonts w:hint="eastAsia" w:ascii="仿宋" w:hAnsi="仿宋" w:eastAsia="仿宋" w:cs="仿宋"/>
          <w:bCs/>
          <w:sz w:val="32"/>
          <w:szCs w:val="32"/>
          <w:highlight w:val="none"/>
        </w:rPr>
        <w:t>月</w:t>
      </w:r>
      <w:r>
        <w:rPr>
          <w:rFonts w:hint="eastAsia" w:ascii="仿宋" w:hAnsi="仿宋" w:eastAsia="仿宋" w:cs="仿宋"/>
          <w:bCs/>
          <w:sz w:val="32"/>
          <w:szCs w:val="32"/>
          <w:highlight w:val="none"/>
          <w:u w:val="single"/>
        </w:rPr>
        <w:t xml:space="preserve">      </w:t>
      </w:r>
      <w:r>
        <w:rPr>
          <w:rFonts w:hint="eastAsia" w:ascii="仿宋" w:hAnsi="仿宋" w:eastAsia="仿宋" w:cs="仿宋"/>
          <w:bCs/>
          <w:sz w:val="32"/>
          <w:szCs w:val="32"/>
          <w:highlight w:val="none"/>
        </w:rPr>
        <w:t>日</w:t>
      </w:r>
    </w:p>
    <w:p>
      <w:pPr>
        <w:rPr>
          <w:rFonts w:hint="eastAsia" w:ascii="仿宋" w:hAnsi="仿宋" w:eastAsia="仿宋" w:cs="仿宋"/>
          <w:bCs/>
          <w:sz w:val="32"/>
          <w:szCs w:val="32"/>
          <w:highlight w:val="none"/>
        </w:rPr>
      </w:pPr>
      <w:r>
        <w:rPr>
          <w:rFonts w:hint="eastAsia" w:ascii="仿宋" w:hAnsi="仿宋" w:eastAsia="仿宋" w:cs="仿宋"/>
          <w:bCs/>
          <w:sz w:val="32"/>
          <w:szCs w:val="32"/>
          <w:highlight w:val="none"/>
        </w:rPr>
        <w:br w:type="page"/>
      </w:r>
    </w:p>
    <w:p>
      <w:pPr>
        <w:numPr>
          <w:ilvl w:val="0"/>
          <w:numId w:val="4"/>
        </w:numPr>
        <w:snapToGrid w:val="0"/>
        <w:spacing w:line="360" w:lineRule="auto"/>
        <w:ind w:left="0" w:leftChars="0" w:firstLine="0" w:firstLineChars="0"/>
        <w:jc w:val="left"/>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项目实施方案</w:t>
      </w:r>
      <w:r>
        <w:rPr>
          <w:rFonts w:hint="eastAsia" w:ascii="黑体" w:hAnsi="黑体" w:eastAsia="黑体" w:cs="黑体"/>
          <w:b w:val="0"/>
          <w:bCs w:val="0"/>
          <w:color w:val="auto"/>
          <w:sz w:val="32"/>
          <w:szCs w:val="32"/>
          <w:highlight w:val="none"/>
        </w:rPr>
        <w:t>（格式自拟）</w:t>
      </w:r>
    </w:p>
    <w:p>
      <w:pPr>
        <w:spacing w:line="48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参选</w:t>
      </w:r>
      <w:r>
        <w:rPr>
          <w:rFonts w:hint="eastAsia" w:ascii="仿宋" w:hAnsi="仿宋" w:eastAsia="仿宋" w:cs="仿宋"/>
          <w:color w:val="auto"/>
          <w:sz w:val="32"/>
          <w:szCs w:val="32"/>
          <w:highlight w:val="none"/>
        </w:rPr>
        <w:t>人应在响应文件中提供详细的项目</w:t>
      </w:r>
      <w:r>
        <w:rPr>
          <w:rFonts w:hint="eastAsia" w:ascii="仿宋" w:hAnsi="仿宋" w:eastAsia="仿宋" w:cs="仿宋"/>
          <w:color w:val="auto"/>
          <w:sz w:val="32"/>
          <w:szCs w:val="32"/>
          <w:highlight w:val="none"/>
          <w:lang w:val="en-US" w:eastAsia="zh-CN"/>
        </w:rPr>
        <w:t>供货</w:t>
      </w:r>
      <w:r>
        <w:rPr>
          <w:rFonts w:hint="eastAsia" w:ascii="仿宋" w:hAnsi="仿宋" w:eastAsia="仿宋" w:cs="仿宋"/>
          <w:color w:val="auto"/>
          <w:sz w:val="32"/>
          <w:szCs w:val="32"/>
          <w:highlight w:val="none"/>
        </w:rPr>
        <w:t>方案</w:t>
      </w:r>
      <w:r>
        <w:rPr>
          <w:rFonts w:hint="eastAsia" w:ascii="仿宋" w:hAnsi="仿宋" w:eastAsia="仿宋" w:cs="仿宋"/>
          <w:color w:val="auto"/>
          <w:sz w:val="32"/>
          <w:szCs w:val="32"/>
          <w:highlight w:val="none"/>
          <w:lang w:val="en-US" w:eastAsia="zh-CN"/>
        </w:rPr>
        <w:t>及售后方案</w:t>
      </w:r>
      <w:r>
        <w:rPr>
          <w:rFonts w:hint="eastAsia" w:ascii="仿宋" w:hAnsi="仿宋" w:eastAsia="仿宋" w:cs="仿宋"/>
          <w:color w:val="auto"/>
          <w:sz w:val="32"/>
          <w:szCs w:val="32"/>
          <w:highlight w:val="none"/>
        </w:rPr>
        <w:t>，包括但不限于如下内容：</w:t>
      </w:r>
    </w:p>
    <w:p>
      <w:pPr>
        <w:spacing w:line="48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产品综合评价；</w:t>
      </w:r>
    </w:p>
    <w:p>
      <w:pPr>
        <w:spacing w:line="48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2.服务</w:t>
      </w:r>
      <w:r>
        <w:rPr>
          <w:rFonts w:hint="eastAsia" w:ascii="仿宋" w:hAnsi="仿宋" w:eastAsia="仿宋" w:cs="仿宋"/>
          <w:color w:val="auto"/>
          <w:sz w:val="32"/>
          <w:szCs w:val="32"/>
          <w:highlight w:val="none"/>
        </w:rPr>
        <w:t>方案；</w:t>
      </w:r>
    </w:p>
    <w:p>
      <w:pPr>
        <w:spacing w:line="48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产品质量保证措施；</w:t>
      </w:r>
    </w:p>
    <w:p>
      <w:pPr>
        <w:spacing w:line="48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售后服务方案；</w:t>
      </w:r>
    </w:p>
    <w:p>
      <w:pPr>
        <w:spacing w:line="480" w:lineRule="auto"/>
        <w:ind w:firstLine="640" w:firstLineChars="200"/>
        <w:jc w:val="left"/>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rPr>
        <w:t>增值服务</w:t>
      </w:r>
      <w:r>
        <w:rPr>
          <w:rFonts w:hint="eastAsia" w:ascii="仿宋" w:hAnsi="仿宋" w:eastAsia="仿宋" w:cs="仿宋"/>
          <w:color w:val="auto"/>
          <w:sz w:val="32"/>
          <w:szCs w:val="32"/>
          <w:highlight w:val="none"/>
          <w:lang w:eastAsia="zh-CN"/>
        </w:rPr>
        <w:t>。</w:t>
      </w:r>
    </w:p>
    <w:p>
      <w:pPr>
        <w:spacing w:line="480" w:lineRule="auto"/>
        <w:ind w:firstLine="640" w:firstLineChars="200"/>
        <w:jc w:val="left"/>
        <w:rPr>
          <w:rFonts w:hint="eastAsia" w:ascii="黑体" w:hAnsi="黑体" w:eastAsia="黑体" w:cs="黑体"/>
          <w:b w:val="0"/>
          <w:bCs/>
          <w:color w:val="000000"/>
          <w:sz w:val="32"/>
          <w:szCs w:val="32"/>
          <w:highlight w:val="none"/>
        </w:rPr>
      </w:pPr>
    </w:p>
    <w:p>
      <w:pPr>
        <w:numPr>
          <w:ilvl w:val="0"/>
          <w:numId w:val="4"/>
        </w:numPr>
        <w:ind w:left="0" w:leftChars="0" w:firstLine="0" w:firstLineChars="0"/>
        <w:rPr>
          <w:rFonts w:hint="eastAsia" w:ascii="黑体" w:hAnsi="黑体" w:eastAsia="黑体" w:cs="黑体"/>
          <w:b w:val="0"/>
          <w:bCs/>
          <w:color w:val="000000"/>
          <w:sz w:val="32"/>
          <w:szCs w:val="32"/>
          <w:highlight w:val="none"/>
        </w:rPr>
      </w:pPr>
      <w:r>
        <w:rPr>
          <w:rFonts w:hint="eastAsia" w:ascii="黑体" w:hAnsi="黑体" w:eastAsia="黑体" w:cs="黑体"/>
          <w:b w:val="0"/>
          <w:bCs/>
          <w:color w:val="000000"/>
          <w:sz w:val="32"/>
          <w:szCs w:val="32"/>
          <w:highlight w:val="none"/>
        </w:rPr>
        <w:t>参选人认为有必要提供的其他资料</w:t>
      </w:r>
    </w:p>
    <w:p>
      <w:pPr>
        <w:pStyle w:val="6"/>
        <w:widowControl w:val="0"/>
        <w:numPr>
          <w:ilvl w:val="0"/>
          <w:numId w:val="0"/>
        </w:numPr>
        <w:spacing w:afterLines="0" w:afterAutospacing="0"/>
        <w:jc w:val="both"/>
        <w:rPr>
          <w:rFonts w:hint="eastAsia"/>
        </w:rPr>
      </w:pPr>
    </w:p>
    <w:p>
      <w:pPr>
        <w:rPr>
          <w:rFonts w:hint="eastAsia"/>
        </w:rPr>
      </w:pPr>
    </w:p>
    <w:p>
      <w:pPr>
        <w:pStyle w:val="6"/>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bCs/>
          <w:sz w:val="32"/>
          <w:szCs w:val="32"/>
          <w:highlight w:val="none"/>
          <w:lang w:val="en-US" w:eastAsia="zh-CN"/>
        </w:rPr>
      </w:pPr>
    </w:p>
    <w:p>
      <w:pPr>
        <w:rPr>
          <w:highlight w:val="none"/>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隶书" w:eastAsia="隶书"/>
        <w:b/>
        <w:szCs w:val="21"/>
      </w:rPr>
    </w:pPr>
    <w:r>
      <w:rPr>
        <w:rFonts w:hint="eastAsia"/>
        <w:sz w:val="18"/>
        <w:szCs w:val="18"/>
      </w:rPr>
      <w:t xml:space="preserve">                                            </w:t>
    </w:r>
    <w:r>
      <w:rPr>
        <w:rFonts w:hint="eastAsia" w:ascii="隶书" w:eastAsia="隶书"/>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937E82"/>
    <w:multiLevelType w:val="singleLevel"/>
    <w:tmpl w:val="D6937E82"/>
    <w:lvl w:ilvl="0" w:tentative="0">
      <w:start w:val="3"/>
      <w:numFmt w:val="chineseCounting"/>
      <w:suff w:val="space"/>
      <w:lvlText w:val="第%1节"/>
      <w:lvlJc w:val="left"/>
      <w:rPr>
        <w:rFonts w:hint="eastAsia"/>
      </w:rPr>
    </w:lvl>
  </w:abstractNum>
  <w:abstractNum w:abstractNumId="1">
    <w:nsid w:val="EC84A3D5"/>
    <w:multiLevelType w:val="singleLevel"/>
    <w:tmpl w:val="EC84A3D5"/>
    <w:lvl w:ilvl="0" w:tentative="0">
      <w:start w:val="2"/>
      <w:numFmt w:val="chineseCounting"/>
      <w:suff w:val="nothing"/>
      <w:lvlText w:val="%1、"/>
      <w:lvlJc w:val="left"/>
      <w:rPr>
        <w:rFonts w:hint="eastAsia"/>
      </w:rPr>
    </w:lvl>
  </w:abstractNum>
  <w:abstractNum w:abstractNumId="2">
    <w:nsid w:val="2D2F9608"/>
    <w:multiLevelType w:val="singleLevel"/>
    <w:tmpl w:val="2D2F9608"/>
    <w:lvl w:ilvl="0" w:tentative="0">
      <w:start w:val="5"/>
      <w:numFmt w:val="chineseCounting"/>
      <w:suff w:val="space"/>
      <w:lvlText w:val="第%1章"/>
      <w:lvlJc w:val="left"/>
      <w:rPr>
        <w:rFonts w:hint="eastAsia"/>
      </w:rPr>
    </w:lvl>
  </w:abstractNum>
  <w:abstractNum w:abstractNumId="3">
    <w:nsid w:val="5EE345D9"/>
    <w:multiLevelType w:val="singleLevel"/>
    <w:tmpl w:val="5EE345D9"/>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zNTA3ODI0YzRiNzZjZTRjYjg2MTA1OTMxNTlhMmEifQ=="/>
  </w:docVars>
  <w:rsids>
    <w:rsidRoot w:val="52452AA2"/>
    <w:rsid w:val="00D348C5"/>
    <w:rsid w:val="012C4554"/>
    <w:rsid w:val="01DA20AA"/>
    <w:rsid w:val="02D40686"/>
    <w:rsid w:val="03725398"/>
    <w:rsid w:val="04BA57A5"/>
    <w:rsid w:val="04E13A54"/>
    <w:rsid w:val="05981856"/>
    <w:rsid w:val="07E3150F"/>
    <w:rsid w:val="0A825391"/>
    <w:rsid w:val="0A870685"/>
    <w:rsid w:val="0B557BCE"/>
    <w:rsid w:val="0E776173"/>
    <w:rsid w:val="0ED105AC"/>
    <w:rsid w:val="11352B49"/>
    <w:rsid w:val="15427887"/>
    <w:rsid w:val="15B34F99"/>
    <w:rsid w:val="15F555B1"/>
    <w:rsid w:val="16CF5818"/>
    <w:rsid w:val="1755076A"/>
    <w:rsid w:val="1889058D"/>
    <w:rsid w:val="19322678"/>
    <w:rsid w:val="19706CFD"/>
    <w:rsid w:val="19730A89"/>
    <w:rsid w:val="1A1F0E4F"/>
    <w:rsid w:val="1ADB7807"/>
    <w:rsid w:val="1F9D36EE"/>
    <w:rsid w:val="227E67D6"/>
    <w:rsid w:val="22A5210D"/>
    <w:rsid w:val="24F642A1"/>
    <w:rsid w:val="257F2B07"/>
    <w:rsid w:val="2762733C"/>
    <w:rsid w:val="278B7B24"/>
    <w:rsid w:val="27F155CA"/>
    <w:rsid w:val="29350308"/>
    <w:rsid w:val="29BF1D06"/>
    <w:rsid w:val="2B667F36"/>
    <w:rsid w:val="2BEA6A80"/>
    <w:rsid w:val="2C6929CA"/>
    <w:rsid w:val="2CC463F7"/>
    <w:rsid w:val="2DE55AB4"/>
    <w:rsid w:val="2F8512FC"/>
    <w:rsid w:val="2FBE3786"/>
    <w:rsid w:val="3102326C"/>
    <w:rsid w:val="32805A9D"/>
    <w:rsid w:val="335D7E9A"/>
    <w:rsid w:val="34C60387"/>
    <w:rsid w:val="37E02662"/>
    <w:rsid w:val="38435770"/>
    <w:rsid w:val="38EF3C8A"/>
    <w:rsid w:val="39202096"/>
    <w:rsid w:val="3AA237B8"/>
    <w:rsid w:val="3B9D66BB"/>
    <w:rsid w:val="3D7309E6"/>
    <w:rsid w:val="3FFE49BF"/>
    <w:rsid w:val="41714E30"/>
    <w:rsid w:val="42800FF6"/>
    <w:rsid w:val="42F603FE"/>
    <w:rsid w:val="43160F14"/>
    <w:rsid w:val="43E77A38"/>
    <w:rsid w:val="4558288A"/>
    <w:rsid w:val="47BF32EA"/>
    <w:rsid w:val="486845BF"/>
    <w:rsid w:val="48EB7FCA"/>
    <w:rsid w:val="497E3568"/>
    <w:rsid w:val="49E8275C"/>
    <w:rsid w:val="49FF7B1A"/>
    <w:rsid w:val="4C854292"/>
    <w:rsid w:val="4DF25957"/>
    <w:rsid w:val="4DFF6CE0"/>
    <w:rsid w:val="4F3B332E"/>
    <w:rsid w:val="4F695CA9"/>
    <w:rsid w:val="505E2927"/>
    <w:rsid w:val="5207759F"/>
    <w:rsid w:val="52452AA2"/>
    <w:rsid w:val="528A6019"/>
    <w:rsid w:val="57017C1C"/>
    <w:rsid w:val="57852859"/>
    <w:rsid w:val="57DB15B9"/>
    <w:rsid w:val="587F6039"/>
    <w:rsid w:val="5951161E"/>
    <w:rsid w:val="5B21162A"/>
    <w:rsid w:val="5CA7490B"/>
    <w:rsid w:val="5CD13F5C"/>
    <w:rsid w:val="5D557CB0"/>
    <w:rsid w:val="5E024934"/>
    <w:rsid w:val="5EE25574"/>
    <w:rsid w:val="5F090620"/>
    <w:rsid w:val="5F27059C"/>
    <w:rsid w:val="627C783B"/>
    <w:rsid w:val="65744A4C"/>
    <w:rsid w:val="65D35C16"/>
    <w:rsid w:val="66122D27"/>
    <w:rsid w:val="66A5719C"/>
    <w:rsid w:val="6712451C"/>
    <w:rsid w:val="67C31C43"/>
    <w:rsid w:val="67D96BE7"/>
    <w:rsid w:val="691B6AD8"/>
    <w:rsid w:val="6BAB38B6"/>
    <w:rsid w:val="6C82034E"/>
    <w:rsid w:val="6D2B35CB"/>
    <w:rsid w:val="6DAB5365"/>
    <w:rsid w:val="6E0659C3"/>
    <w:rsid w:val="6E2E60E0"/>
    <w:rsid w:val="6E3E66E1"/>
    <w:rsid w:val="6EAE7221"/>
    <w:rsid w:val="6EFF202A"/>
    <w:rsid w:val="706D3DA1"/>
    <w:rsid w:val="70F11BA7"/>
    <w:rsid w:val="74034B13"/>
    <w:rsid w:val="759C4448"/>
    <w:rsid w:val="76006E9A"/>
    <w:rsid w:val="76B47EB7"/>
    <w:rsid w:val="78227D74"/>
    <w:rsid w:val="796432FD"/>
    <w:rsid w:val="7AC1208A"/>
    <w:rsid w:val="7AF23E78"/>
    <w:rsid w:val="7B2F6CF4"/>
    <w:rsid w:val="7B9C3261"/>
    <w:rsid w:val="7C123FC6"/>
    <w:rsid w:val="7C1A5764"/>
    <w:rsid w:val="7CA53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tabs>
        <w:tab w:val="left" w:pos="0"/>
      </w:tabs>
      <w:spacing w:line="360" w:lineRule="auto"/>
      <w:ind w:firstLine="0" w:firstLineChars="0"/>
      <w:jc w:val="center"/>
      <w:outlineLvl w:val="0"/>
    </w:pPr>
    <w:rPr>
      <w:rFonts w:ascii="黑体" w:hAnsi="黑体"/>
      <w:b/>
      <w:sz w:val="32"/>
      <w:szCs w:val="32"/>
    </w:rPr>
  </w:style>
  <w:style w:type="paragraph" w:styleId="2">
    <w:name w:val="heading 2"/>
    <w:basedOn w:val="1"/>
    <w:next w:val="1"/>
    <w:autoRedefine/>
    <w:semiHidden/>
    <w:unhideWhenUsed/>
    <w:qFormat/>
    <w:uiPriority w:val="0"/>
    <w:pPr>
      <w:keepNext/>
      <w:keepLines/>
      <w:tabs>
        <w:tab w:val="left" w:pos="0"/>
      </w:tabs>
      <w:spacing w:beforeLines="0" w:beforeAutospacing="0" w:afterLines="0" w:afterAutospacing="0" w:line="360" w:lineRule="auto"/>
      <w:ind w:firstLine="0" w:firstLineChars="0"/>
      <w:jc w:val="center"/>
      <w:outlineLvl w:val="1"/>
    </w:pPr>
    <w:rPr>
      <w:rFonts w:ascii="Arial" w:hAnsi="Arial"/>
      <w:b/>
      <w:sz w:val="30"/>
      <w:szCs w:val="22"/>
    </w:rPr>
  </w:style>
  <w:style w:type="paragraph" w:styleId="4">
    <w:name w:val="heading 3"/>
    <w:basedOn w:val="1"/>
    <w:next w:val="1"/>
    <w:autoRedefine/>
    <w:qFormat/>
    <w:uiPriority w:val="9"/>
    <w:pPr>
      <w:keepNext/>
      <w:keepLines/>
      <w:spacing w:before="100" w:beforeAutospacing="1" w:after="100" w:afterAutospacing="1" w:line="360" w:lineRule="auto"/>
      <w:jc w:val="center"/>
      <w:outlineLvl w:val="2"/>
    </w:pPr>
    <w:rPr>
      <w:rFonts w:eastAsia="黑体"/>
      <w:bCs/>
      <w:kern w:val="0"/>
      <w:sz w:val="24"/>
      <w:szCs w:val="32"/>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rmal Indent"/>
    <w:basedOn w:val="1"/>
    <w:qFormat/>
    <w:uiPriority w:val="99"/>
    <w:pPr>
      <w:ind w:firstLine="420" w:firstLineChars="200"/>
    </w:pPr>
  </w:style>
  <w:style w:type="paragraph" w:styleId="6">
    <w:name w:val="Body Text"/>
    <w:basedOn w:val="1"/>
    <w:next w:val="1"/>
    <w:qFormat/>
    <w:uiPriority w:val="0"/>
    <w:pPr>
      <w:tabs>
        <w:tab w:val="left" w:pos="0"/>
      </w:tabs>
      <w:spacing w:afterLines="0" w:afterAutospacing="0"/>
      <w:ind w:firstLine="480" w:firstLineChars="200"/>
    </w:pPr>
  </w:style>
  <w:style w:type="paragraph" w:styleId="7">
    <w:name w:val="Body Text Indent"/>
    <w:basedOn w:val="1"/>
    <w:next w:val="8"/>
    <w:autoRedefine/>
    <w:qFormat/>
    <w:uiPriority w:val="0"/>
    <w:pPr>
      <w:ind w:firstLine="660"/>
    </w:pPr>
    <w:rPr>
      <w:rFonts w:ascii="宋体" w:hAnsi="宋体"/>
      <w:color w:val="000000"/>
      <w:sz w:val="24"/>
      <w:szCs w:val="20"/>
    </w:rPr>
  </w:style>
  <w:style w:type="paragraph" w:styleId="8">
    <w:name w:val="envelope return"/>
    <w:basedOn w:val="1"/>
    <w:autoRedefine/>
    <w:qFormat/>
    <w:uiPriority w:val="0"/>
    <w:pPr>
      <w:snapToGrid w:val="0"/>
    </w:pPr>
    <w:rPr>
      <w:rFonts w:ascii="Arial" w:hAnsi="Arial"/>
    </w:rPr>
  </w:style>
  <w:style w:type="paragraph" w:styleId="9">
    <w:name w:val="Plain Text"/>
    <w:basedOn w:val="1"/>
    <w:autoRedefine/>
    <w:qFormat/>
    <w:uiPriority w:val="0"/>
    <w:rPr>
      <w:rFonts w:ascii="宋体" w:hAnsi="Courier New"/>
      <w:szCs w:val="20"/>
    </w:rPr>
  </w:style>
  <w:style w:type="paragraph" w:styleId="10">
    <w:name w:val="Body Text Indent 2"/>
    <w:basedOn w:val="1"/>
    <w:qFormat/>
    <w:uiPriority w:val="0"/>
    <w:pPr>
      <w:autoSpaceDE/>
      <w:autoSpaceDN/>
      <w:adjustRightInd/>
      <w:spacing w:line="360" w:lineRule="auto"/>
      <w:ind w:firstLine="720"/>
      <w:jc w:val="both"/>
      <w:textAlignment w:val="auto"/>
    </w:pPr>
    <w:rPr>
      <w:kern w:val="2"/>
      <w:sz w:val="28"/>
      <w:lang w:val="en-US"/>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List"/>
    <w:basedOn w:val="1"/>
    <w:autoRedefine/>
    <w:qFormat/>
    <w:uiPriority w:val="0"/>
    <w:pPr>
      <w:widowControl w:val="0"/>
      <w:spacing w:line="240" w:lineRule="auto"/>
      <w:ind w:left="420" w:hanging="420"/>
      <w:textAlignment w:val="auto"/>
    </w:pPr>
    <w:rPr>
      <w:rFonts w:ascii="Arial" w:hAnsi="Arial" w:eastAsia="楷体_GB2312"/>
      <w:color w:val="auto"/>
      <w:kern w:val="2"/>
      <w:sz w:val="28"/>
    </w:rPr>
  </w:style>
  <w:style w:type="paragraph" w:styleId="13">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14">
    <w:name w:val="Body Text First Indent 2"/>
    <w:basedOn w:val="7"/>
    <w:next w:val="12"/>
    <w:autoRedefine/>
    <w:qFormat/>
    <w:uiPriority w:val="0"/>
    <w:pPr>
      <w:spacing w:after="120"/>
      <w:ind w:left="420" w:leftChars="200" w:firstLine="420" w:firstLineChars="200"/>
    </w:pPr>
    <w:rPr>
      <w:sz w:val="21"/>
      <w:szCs w:val="24"/>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paragraph" w:customStyle="1" w:styleId="19">
    <w:name w:val="BodyText1I2"/>
    <w:basedOn w:val="20"/>
    <w:autoRedefine/>
    <w:qFormat/>
    <w:uiPriority w:val="0"/>
    <w:pPr>
      <w:spacing w:after="120" w:line="360" w:lineRule="atLeast"/>
      <w:ind w:left="420" w:leftChars="200" w:firstLine="420" w:firstLineChars="200"/>
      <w:jc w:val="both"/>
      <w:textAlignment w:val="baseline"/>
    </w:pPr>
    <w:rPr>
      <w:rFonts w:ascii="Times New Roman"/>
      <w:kern w:val="2"/>
      <w:sz w:val="24"/>
      <w:szCs w:val="24"/>
      <w:lang w:val="en-US" w:eastAsia="zh-CN" w:bidi="ar-SA"/>
    </w:rPr>
  </w:style>
  <w:style w:type="paragraph" w:customStyle="1" w:styleId="20">
    <w:name w:val="BodyTextIndent"/>
    <w:basedOn w:val="1"/>
    <w:autoRedefine/>
    <w:qFormat/>
    <w:uiPriority w:val="0"/>
    <w:pPr>
      <w:spacing w:line="360" w:lineRule="auto"/>
      <w:ind w:left="2400" w:hanging="2400" w:hangingChars="857"/>
      <w:jc w:val="both"/>
      <w:textAlignment w:val="baseline"/>
    </w:pPr>
    <w:rPr>
      <w:rFonts w:ascii="宋体"/>
      <w:kern w:val="2"/>
      <w:sz w:val="28"/>
      <w:szCs w:val="24"/>
      <w:lang w:val="en-US" w:eastAsia="zh-CN" w:bidi="ar-SA"/>
    </w:rPr>
  </w:style>
  <w:style w:type="paragraph" w:customStyle="1" w:styleId="21">
    <w:name w:val="WPSOffice手动目录 1"/>
    <w:autoRedefine/>
    <w:qFormat/>
    <w:uiPriority w:val="0"/>
    <w:rPr>
      <w:rFonts w:ascii="Times New Roman" w:hAnsi="Times New Roman" w:eastAsia="宋体" w:cs="Times New Roman"/>
      <w:lang w:val="en-US" w:eastAsia="zh-CN" w:bidi="ar-SA"/>
    </w:rPr>
  </w:style>
  <w:style w:type="paragraph" w:styleId="22">
    <w:name w:val="List Paragraph"/>
    <w:basedOn w:val="1"/>
    <w:autoRedefine/>
    <w:qFormat/>
    <w:uiPriority w:val="1"/>
    <w:pPr>
      <w:ind w:left="492" w:firstLine="480"/>
    </w:pPr>
    <w:rPr>
      <w:rFonts w:ascii="宋体" w:hAnsi="宋体" w:eastAsia="宋体" w:cs="宋体"/>
      <w:lang w:val="zh-CN" w:eastAsia="zh-CN" w:bidi="zh-CN"/>
    </w:rPr>
  </w:style>
  <w:style w:type="paragraph" w:customStyle="1" w:styleId="23">
    <w:name w:val="样式 标题 2 + Times New Roman 四号 非加粗 段前: 5 磅 段后: 0 磅 行距: 固定值 20..."/>
    <w:basedOn w:val="2"/>
    <w:autoRedefine/>
    <w:qFormat/>
    <w:uiPriority w:val="0"/>
    <w:pPr>
      <w:spacing w:before="100" w:beforeLines="0" w:after="0" w:afterLines="0" w:line="400" w:lineRule="exact"/>
    </w:pPr>
    <w:rPr>
      <w:rFonts w:ascii="Times New Roman" w:hAnsi="Times New Roman" w:cs="宋体"/>
      <w:b w:val="0"/>
      <w:bCs/>
      <w:sz w:val="28"/>
      <w:szCs w:val="20"/>
    </w:rPr>
  </w:style>
  <w:style w:type="paragraph" w:customStyle="1" w:styleId="24">
    <w:name w:val="样式 标题 3 + (中文) 黑体 小四 非加粗 段前: 7.8 磅 段后: 0 磅 行距: 固定值 20 磅"/>
    <w:basedOn w:val="4"/>
    <w:autoRedefine/>
    <w:qFormat/>
    <w:uiPriority w:val="0"/>
    <w:pPr>
      <w:spacing w:before="0" w:beforeLines="0" w:after="0" w:afterLines="0" w:line="400" w:lineRule="exact"/>
    </w:pPr>
    <w:rPr>
      <w:rFonts w:eastAsia="黑体" w:cs="宋体"/>
      <w:bCs w:val="0"/>
      <w:sz w:val="24"/>
      <w:szCs w:val="20"/>
    </w:rPr>
  </w:style>
  <w:style w:type="paragraph" w:customStyle="1" w:styleId="25">
    <w:name w:val="报告正文1"/>
    <w:basedOn w:val="1"/>
    <w:autoRedefine/>
    <w:qFormat/>
    <w:uiPriority w:val="0"/>
    <w:rPr>
      <w:rFonts w:ascii="宋体" w:hAnsi="宋体"/>
      <w:bCs/>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8984</Words>
  <Characters>10050</Characters>
  <Lines>0</Lines>
  <Paragraphs>0</Paragraphs>
  <TotalTime>10</TotalTime>
  <ScaleCrop>false</ScaleCrop>
  <LinksUpToDate>false</LinksUpToDate>
  <CharactersWithSpaces>11229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2022-09-09T03:15:00Z</dcterms:created>
  <dc:creator>Cherry羊</dc:creator>
  <cp:lastModifiedBy>xuli</cp:lastModifiedBy>
  <dcterms:modified xsi:type="dcterms:W3CDTF">2024-04-12T11:48:58Z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79CD2B022C884BAE9A2C87337EE7650C_13</vt:lpwstr>
  </property>
</Properties>
</file>